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Gegevensbeschermingseffectbeoordeling (DPIA):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Model van TrapSpotter BV, vooraf ingevuld voor het plan Fleet · artikel 35 AVG · Nederland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Voor de werkgever</w:t>
            </w:r>
          </w:p>
          <w:p>
            <w:pPr>
              <w:pStyle w:val="ListParagraph"/>
              <w:numPr>
                <w:ilvl w:val="0"/>
                <w:numId w:val="2"/>
              </w:numPr>
              <w:spacing w:after="60"/>
            </w:pPr>
            <w:r>
              <w:rPr>
                <w:rFonts w:ascii="Calibri" w:cs="Calibri" w:eastAsia="Calibri" w:hAnsi="Calibri"/>
              </w:rPr>
              <w:t xml:space="preserve">TrapSpotter BV vulde in wat de dienst doet. U vult aan wat van uw onderneming afhangt (gele velden), beoordeelt de risico’s voor uw situatie, vraagt het advies van uw functionaris voor gegevensbescherming als u er een hebt, en ondertekent.</w:t>
            </w:r>
          </w:p>
          <w:p>
            <w:pPr>
              <w:pStyle w:val="ListParagraph"/>
              <w:numPr>
                <w:ilvl w:val="0"/>
                <w:numId w:val="2"/>
              </w:numPr>
              <w:spacing w:after="60"/>
            </w:pPr>
            <w:r>
              <w:rPr>
                <w:rFonts w:ascii="Calibri" w:cs="Calibri" w:eastAsia="Calibri" w:hAnsi="Calibri"/>
              </w:rPr>
              <w:t xml:space="preserve">Voer de DPIA uit vóór de eerste werkdag en bewaar ze: de Autoriteit Persoonsgegevens (AP) kan erom vragen.</w:t>
            </w:r>
          </w:p>
          <w:p>
            <w:pPr>
              <w:pStyle w:val="ListParagraph"/>
              <w:numPr>
                <w:ilvl w:val="0"/>
                <w:numId w:val="2"/>
              </w:numPr>
              <w:spacing w:after="60"/>
            </w:pPr>
            <w:r>
              <w:rPr>
                <w:rFonts w:ascii="Calibri" w:cs="Calibri" w:eastAsia="Calibri" w:hAnsi="Calibri"/>
              </w:rPr>
              <w:t xml:space="preserve">Herzie de DPIA wanneer uw gebruik of de dienst verandert, en minstens </w:t>
            </w:r>
            <w:r>
              <w:rPr>
                <w:rFonts w:ascii="Calibri" w:cs="Calibri" w:eastAsia="Calibri" w:hAnsi="Calibri"/>
                <w:highlight w:val="yellow"/>
              </w:rPr>
              <w:t xml:space="preserve">[jaarlijks]</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Verwerkingsverantwoordelijke (bedrijf, adres): </w:t>
      </w:r>
      <w:r>
        <w:rPr>
          <w:rFonts w:ascii="Calibri" w:cs="Calibri" w:eastAsia="Calibri" w:hAnsi="Calibri"/>
          <w:color w:val="7F7F7F"/>
        </w:rPr>
        <w:t xml:space="preserve">_______________</w:t>
      </w:r>
    </w:p>
    <w:p>
      <w:pPr>
        <w:spacing w:after="140"/>
      </w:pPr>
      <w:r>
        <w:rPr>
          <w:rFonts w:ascii="Calibri" w:cs="Calibri" w:eastAsia="Calibri" w:hAnsi="Calibri"/>
        </w:rPr>
        <w:t xml:space="preserve">Contactpersoon: </w:t>
      </w:r>
      <w:r>
        <w:rPr>
          <w:rFonts w:ascii="Calibri" w:cs="Calibri" w:eastAsia="Calibri" w:hAnsi="Calibri"/>
          <w:color w:val="7F7F7F"/>
        </w:rPr>
        <w:t xml:space="preserve">______________________________________________</w:t>
      </w:r>
    </w:p>
    <w:p>
      <w:pPr>
        <w:spacing w:after="140"/>
      </w:pPr>
      <w:r>
        <w:rPr>
          <w:rFonts w:ascii="Calibri" w:cs="Calibri" w:eastAsia="Calibri" w:hAnsi="Calibri"/>
        </w:rPr>
        <w:t xml:space="preserve">Functionaris voor gegevensbescherming (indien aangesteld): </w:t>
      </w:r>
      <w:r>
        <w:rPr>
          <w:rFonts w:ascii="Calibri" w:cs="Calibri" w:eastAsia="Calibri" w:hAnsi="Calibri"/>
          <w:color w:val="7F7F7F"/>
        </w:rPr>
        <w:t xml:space="preserve">__________</w:t>
      </w:r>
    </w:p>
    <w:p>
      <w:pPr>
        <w:spacing w:after="140"/>
      </w:pPr>
      <w:r>
        <w:rPr>
          <w:rFonts w:ascii="Calibri" w:cs="Calibri" w:eastAsia="Calibri" w:hAnsi="Calibri"/>
        </w:rPr>
        <w:t xml:space="preserve">Datum van deze DPIA: </w:t>
      </w:r>
      <w:r>
        <w:rPr>
          <w:rFonts w:ascii="Calibri" w:cs="Calibri" w:eastAsia="Calibri" w:hAnsi="Calibri"/>
          <w:color w:val="7F7F7F"/>
        </w:rPr>
        <w:t xml:space="preserve">_________________________________________</w:t>
      </w:r>
    </w:p>
    <w:p>
      <w:pPr>
        <w:spacing w:after="140"/>
      </w:pPr>
      <w:r>
        <w:rPr>
          <w:rFonts w:ascii="Calibri" w:cs="Calibri" w:eastAsia="Calibri" w:hAnsi="Calibri"/>
        </w:rPr>
        <w:t xml:space="preserve">Versie: </w:t>
      </w:r>
      <w:r>
        <w:rPr>
          <w:rFonts w:ascii="Calibri" w:cs="Calibri" w:eastAsia="Calibri" w:hAnsi="Calibri"/>
          <w:color w:val="7F7F7F"/>
        </w:rPr>
        <w:t xml:space="preserve">______________________________________________________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Is een DPIA verplicht?</w:t>
      </w:r>
    </w:p>
    <w:p>
      <w:pPr>
        <w:spacing w:after="120" w:line="276"/>
      </w:pPr>
      <w:r>
        <w:rPr>
          <w:rFonts w:ascii="Calibri" w:cs="Calibri" w:eastAsia="Calibri" w:hAnsi="Calibri"/>
          <w:b/>
          <w:bCs/>
        </w:rPr>
        <w:t xml:space="preserve">Ja, voor Fleet.</w:t>
      </w:r>
      <w:r>
        <w:rPr>
          <w:rFonts w:ascii="Calibri" w:cs="Calibri" w:eastAsia="Calibri" w:hAnsi="Calibri"/>
        </w:rPr>
        <w:t xml:space="preserve"> De lijst van de Autoriteit Persoonsgegevens (Stcrt. 2019, 64418) noemt in punt 11 de stelselmatige monitoring van activiteiten van werknemers, met als voorbeeld GPS-systemen in (vracht)auto’s van werknemers, en in punt 12 de stelselmatige monitoring van locatiegegevens. De AP schrijft ook dat wie gps-trackers in auto’s van werknemers wil gebruiken, eerst een DPIA moet uitvoeren.</w:t>
      </w:r>
    </w:p>
    <w:p>
      <w:pPr>
        <w:spacing w:after="120" w:line="276"/>
      </w:pPr>
      <w:r>
        <w:rPr>
          <w:rFonts w:ascii="Calibri" w:cs="Calibri" w:eastAsia="Calibri" w:hAnsi="Calibri"/>
          <w:b/>
          <w:bCs/>
        </w:rPr>
        <w:t xml:space="preserve">TrapSpotter Teams.</w:t>
      </w:r>
      <w:r>
        <w:rPr>
          <w:rFonts w:ascii="Calibri" w:cs="Calibri" w:eastAsia="Calibri" w:hAnsi="Calibri"/>
        </w:rPr>
        <w:t xml:space="preserve"> Teams registreert geen werkdagen, ritten of posities; de werkgever beheert alleen seats (naam, e-mailadres en de gegevens die hij zelf invult). Die verwerking staat niet op de lijst van de toezichthouder en voldoet in onze beoordeling alleen aan het criterium ‘werknemers’ van de richtsnoeren van de Europese toezichthouders (WP 248), niet aan twee criteria. Een DPIA is voor Teams dus in principe niet verplicht; neem de verwerking wel op in uw register van verwerkingsactiviteiten (artikel 30 AVG).</w:t>
      </w:r>
    </w:p>
    <w:p>
      <w:pPr>
        <w:pStyle w:val="Heading1"/>
        <w:keepNext/>
        <w:spacing w:after="120" w:before="280"/>
      </w:pPr>
      <w:r>
        <w:rPr>
          <w:rFonts w:ascii="Calibri" w:cs="Calibri" w:eastAsia="Calibri" w:hAnsi="Calibri"/>
          <w:b/>
          <w:bCs/>
          <w:color w:val="1F1F1F"/>
          <w:sz w:val="26"/>
          <w:szCs w:val="26"/>
        </w:rPr>
        <w:t xml:space="preserve">2. Beschrijving van de verwerking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Onderdeel</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Beschrijving</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Verwerkingsverantwoordelijke</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[Bedrijfsnaam, adres, ondernemingsnummer]</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Verwerker</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België, ondernemingsnummer 1031.603.017) (verwerkersovereenkomst bij de zakelijke voorwaarden)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Betrokkenen</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Chauffeurs: </w:t>
            </w:r>
            <w:r>
              <w:rPr>
                <w:rFonts w:ascii="Calibri" w:cs="Calibri" w:eastAsia="Calibri" w:hAnsi="Calibri"/>
                <w:sz w:val="19"/>
                <w:szCs w:val="19"/>
                <w:highlight w:val="yellow"/>
              </w:rPr>
              <w:t xml:space="preserve">[aantal]</w:t>
            </w:r>
            <w:r>
              <w:rPr>
                <w:rFonts w:ascii="Calibri" w:cs="Calibri" w:eastAsia="Calibri" w:hAnsi="Calibri"/>
                <w:sz w:val="19"/>
                <w:szCs w:val="19"/>
              </w:rPr>
              <w:t xml:space="preserve"> werknemers en andere medewerkers die het bedrijf uitnodigt; eigenaars en beheerders; contactpersonen van klanten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Doeleinden</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[Neem de doeleinden over die u in het beleid aanvinkte]</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Middelen</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De TrapSpotter-app (iOS, Android) op de telefoon van de chauffeur </w:t>
            </w:r>
            <w:r>
              <w:rPr>
                <w:rFonts w:ascii="Calibri" w:cs="Calibri" w:eastAsia="Calibri" w:hAnsi="Calibri"/>
                <w:sz w:val="19"/>
                <w:szCs w:val="19"/>
                <w:highlight w:val="yellow"/>
              </w:rPr>
              <w:t xml:space="preserve">[eigen telefoon / telefoon van het bedrijf]</w:t>
            </w:r>
            <w:r>
              <w:rPr>
                <w:rFonts w:ascii="Calibri" w:cs="Calibri" w:eastAsia="Calibri" w:hAnsi="Calibri"/>
                <w:sz w:val="19"/>
                <w:szCs w:val="19"/>
              </w:rPr>
              <w:t xml:space="preserve">; de console op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Opslag</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AWS-regio eu-north-1 (Stockholm, Zweden); eigen servers van TrapSpotter bij Hetzner (Falkenstein, Duitsland). Subverwerkers: bijlage 3 van de verwerkersovereenkomst</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Ontvangers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[Namen of functies]</w:t>
            </w:r>
            <w:r>
              <w:rPr>
                <w:rFonts w:ascii="Calibri" w:cs="Calibri" w:eastAsia="Calibri" w:hAnsi="Calibri"/>
                <w:sz w:val="19"/>
                <w:szCs w:val="19"/>
              </w:rPr>
              <w:t xml:space="preserve"> in de console; TrapSpotter BV en zijn subverwerkers; </w:t>
            </w:r>
            <w:r>
              <w:rPr>
                <w:rFonts w:ascii="Calibri" w:cs="Calibri" w:eastAsia="Calibri" w:hAnsi="Calibri"/>
                <w:sz w:val="19"/>
                <w:szCs w:val="19"/>
                <w:highlight w:val="yellow"/>
              </w:rPr>
              <w:t xml:space="preserve">[sociaal secretariaat of salarisadministratie, boekhouder]</w:t>
            </w:r>
          </w:p>
        </w:tc>
      </w:tr>
    </w:tbl>
    <w:p>
      <w:pPr>
        <w:spacing w:after="120"/>
      </w:pPr>
    </w:p>
    <w:p>
      <w:pPr>
        <w:spacing w:after="120" w:line="276"/>
      </w:pPr>
      <w:r>
        <w:rPr>
          <w:rFonts w:ascii="Calibri" w:cs="Calibri" w:eastAsia="Calibri" w:hAnsi="Calibri"/>
          <w:b/>
          <w:bCs/>
        </w:rPr>
        <w:t xml:space="preserve">Gegevens per functie: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Functie</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Gegevens</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Wanneer</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Bewaring</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Leden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Naam, e-mailadres, telefoon, functie, personeelsnummer, notities, rol, status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Bij uitnodiging</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Zolang nodig; uiterlijk einde contract</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Werkdagen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Begin, einde, reden van het einde, voertuig of eigen wagen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Start tot stop van de werkdag</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[invullen]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Ritten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Tijden, begin- en eindplaats, route, afstand, klant, voertuig, notitie. Privérit: alleen tijd en afstand</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Tijdens de werkdag</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[invullen]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Live posities (optioneel)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Positie, rijrichting, snelheid volgens de telefoon (snelheid niet getoond), tijd</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Tijdens de werkdag, als de functie aanstaat; max. 1 per minuut</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minuten; meteen bij uitzetten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Klanten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Naam, adres, contactpersoon, telefoon, notitie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Door beheerders ingevoerd</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[invullen]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Voertuigen en documenten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Nummerplaat, merk, model, kilometerstand, toegewezen chauffeur; document, referentie, vervaldatum</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Door beheerders ingevoerd</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Tot verwijdering</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Bonnetjes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Datum, soort, handelaar, bedrag, btw, liters, foto, beslissing</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Door de chauffeur ingestuurd</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[invullen]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Boetes (artikel 10 AVG)</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Nummerplaat, datum, uur en plaats van de overtreding, referentie, termijn, status, gevonden rit en chauffeur, antwoord van de chauffeur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Wanneer het bedrijf een boete ontvangt</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Tot de boete is afgehandeld of verhaald (uiterlijk 24 maanden)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Kilometerstaat</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Berekend uit werkdagen en ritten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Op vraag</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Niet apart bewaard</w:t>
            </w:r>
          </w:p>
        </w:tc>
      </w:tr>
    </w:tbl>
    <w:p>
      <w:pPr>
        <w:spacing w:after="120"/>
      </w:pPr>
    </w:p>
    <w:p>
      <w:pPr>
        <w:pStyle w:val="Heading1"/>
        <w:keepNext/>
        <w:spacing w:after="120" w:before="280"/>
      </w:pPr>
      <w:r>
        <w:rPr>
          <w:rFonts w:ascii="Calibri" w:cs="Calibri" w:eastAsia="Calibri" w:hAnsi="Calibri"/>
          <w:b/>
          <w:bCs/>
          <w:color w:val="1F1F1F"/>
          <w:sz w:val="26"/>
          <w:szCs w:val="26"/>
        </w:rPr>
        <w:t xml:space="preserve">3. Rechtsgrond, noodzaak en evenredigheid</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Doel</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Rechtsgrond (invullen)</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Waarom nodig, en waarom niet minder ingrijpend</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Werktijd en werkritten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[artikel 6, lid 1, f AVG (gerechtvaardigd belang); of c, als uw recht een registratie van de arbeidstijd oplegt]</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[Bijvoorbeeld: bewijs van prestaties bij klanten; papieren ritlijsten zijn onvolledig en kosten tijd]</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Kilometervergoeding</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[artikel 6, lid 1, b of f AVG]</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 vergoeding hangt af van de werkelijk gereden zakelijke kilometers]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Wagenparkbeheer en documenten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[artikel 6, lid 1, f AVG]</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[Weten wie met welk voertuig rijdt; vervaldatums niet missen]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Onkosten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[artikel 6, lid 1, b AVG]</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 chauffeur vraagt zelf terugbetaling]</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Verkeersboetes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artikel 6, lid 1, f AVG; voor strafrechtelijke gegevens artikel 181, lid 5 Wegenverkeerswet 1994 en artikel 33, lid 3 UAVG (regels met instemming van de ondernemingsraad). Mulderboetes zijn volgens de wetgever geen artikel 10-gegevens; uit voorzorg zo behandeld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 bestuurder correct en binnen de termijn aanwijzen]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Live posities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[artikel 6, lid 1, f AVG, alleen als u de functie aanzet]</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[Bijvoorbeeld: dringende planning, hulp bij pech. Zonder die nood: laat de functie uit]</w:t>
            </w:r>
          </w:p>
        </w:tc>
      </w:tr>
    </w:tbl>
    <w:p>
      <w:pPr>
        <w:spacing w:after="120"/>
      </w:pPr>
    </w:p>
    <w:p>
      <w:pPr>
        <w:spacing w:after="120" w:line="276"/>
      </w:pPr>
      <w:r>
        <w:rPr>
          <w:rFonts w:ascii="Calibri" w:cs="Calibri" w:eastAsia="Calibri" w:hAnsi="Calibri"/>
          <w:b/>
          <w:bCs/>
        </w:rPr>
        <w:t xml:space="preserve">Ingebouwde maatregelen die de verwerking beperken:</w:t>
      </w:r>
    </w:p>
    <w:p>
      <w:pPr>
        <w:pStyle w:val="ListParagraph"/>
        <w:numPr>
          <w:ilvl w:val="0"/>
          <w:numId w:val="2"/>
        </w:numPr>
        <w:spacing w:after="60" w:line="276"/>
      </w:pPr>
      <w:r>
        <w:rPr>
          <w:rFonts w:ascii="Calibri" w:cs="Calibri" w:eastAsia="Calibri" w:hAnsi="Calibri"/>
        </w:rPr>
        <w:t xml:space="preserve">Registratie alleen tussen “Start werkdag” en “Stop werkdag”, met een automatische stop na het gekozen aantal uur (4 tot 14).</w:t>
      </w:r>
    </w:p>
    <w:p>
      <w:pPr>
        <w:pStyle w:val="ListParagraph"/>
        <w:numPr>
          <w:ilvl w:val="0"/>
          <w:numId w:val="2"/>
        </w:numPr>
        <w:spacing w:after="60" w:line="276"/>
      </w:pPr>
      <w:r>
        <w:rPr>
          <w:rFonts w:ascii="Calibri" w:cs="Calibri" w:eastAsia="Calibri" w:hAnsi="Calibri"/>
        </w:rPr>
        <w:t xml:space="preserve">Privéritten: plaatsen, route en klant worden op de server definitief gewist; de databank aanvaardt geen privérit met zulke gegevens.</w:t>
      </w:r>
    </w:p>
    <w:p>
      <w:pPr>
        <w:pStyle w:val="ListParagraph"/>
        <w:numPr>
          <w:ilvl w:val="0"/>
          <w:numId w:val="2"/>
        </w:numPr>
        <w:spacing w:after="60" w:line="276"/>
      </w:pPr>
      <w:r>
        <w:rPr>
          <w:rFonts w:ascii="Calibri" w:cs="Calibri" w:eastAsia="Calibri" w:hAnsi="Calibri"/>
        </w:rPr>
        <w:t xml:space="preserve">Live posities staan standaard uit; aan: hoogstens één per minuut, alleen tijdens een werkdag, na 30 minuten gewist, en meteen gewist als de functie uitgaat. De chauffeur ziet in de app of ze aanstaan.</w:t>
      </w:r>
    </w:p>
    <w:p>
      <w:pPr>
        <w:pStyle w:val="ListParagraph"/>
        <w:numPr>
          <w:ilvl w:val="0"/>
          <w:numId w:val="2"/>
        </w:numPr>
        <w:spacing w:after="60" w:line="276"/>
      </w:pPr>
      <w:r>
        <w:rPr>
          <w:rFonts w:ascii="Calibri" w:cs="Calibri" w:eastAsia="Calibri" w:hAnsi="Calibri"/>
        </w:rPr>
        <w:t xml:space="preserve">De console toont geen snelheid.</w:t>
      </w:r>
    </w:p>
    <w:p>
      <w:pPr>
        <w:pStyle w:val="ListParagraph"/>
        <w:numPr>
          <w:ilvl w:val="0"/>
          <w:numId w:val="2"/>
        </w:numPr>
        <w:spacing w:after="60" w:line="276"/>
      </w:pPr>
      <w:r>
        <w:rPr>
          <w:rFonts w:ascii="Calibri" w:cs="Calibri" w:eastAsia="Calibri" w:hAnsi="Calibri"/>
        </w:rPr>
        <w:t xml:space="preserve">Rollen: een chauffeur ziet alleen zijn eigen gegevens; boetes alleen voor de eigenaar en de beheerders; elke actie in de console wordt gelogd.</w:t>
      </w:r>
    </w:p>
    <w:p>
      <w:pPr>
        <w:pStyle w:val="ListParagraph"/>
        <w:numPr>
          <w:ilvl w:val="0"/>
          <w:numId w:val="2"/>
        </w:numPr>
        <w:spacing w:after="60" w:line="276"/>
      </w:pPr>
      <w:r>
        <w:rPr>
          <w:rFonts w:ascii="Calibri" w:cs="Calibri" w:eastAsia="Calibri" w:hAnsi="Calibri"/>
        </w:rPr>
        <w:t xml:space="preserve">Boetegegevens worden uiterlijk 24 maanden na de overtreding automatisch gewist; de werkgever kan ze eerder wissen.</w:t>
      </w:r>
    </w:p>
    <w:p>
      <w:pPr>
        <w:pStyle w:val="ListParagraph"/>
        <w:numPr>
          <w:ilvl w:val="0"/>
          <w:numId w:val="2"/>
        </w:numPr>
        <w:spacing w:after="60" w:line="276"/>
      </w:pPr>
      <w:r>
        <w:rPr>
          <w:rFonts w:ascii="Calibri" w:cs="Calibri" w:eastAsia="Calibri" w:hAnsi="Calibri"/>
        </w:rPr>
        <w:t xml:space="preserve">Hosting in de EU; versleuteling tijdens transport en opslag; geen rechtstreekse toegang tot de tabellen; uitnodigingen met een eenmalige sleutel.</w:t>
      </w:r>
    </w:p>
    <w:p>
      <w:pPr>
        <w:pStyle w:val="ListParagraph"/>
        <w:numPr>
          <w:ilvl w:val="0"/>
          <w:numId w:val="2"/>
        </w:numPr>
        <w:spacing w:after="60" w:line="276"/>
      </w:pPr>
      <w:r>
        <w:rPr>
          <w:rFonts w:ascii="Calibri" w:cs="Calibri" w:eastAsia="Calibri" w:hAnsi="Calibri"/>
        </w:rPr>
        <w:t xml:space="preserve">De medewerkers van TrapSpotter zien in hun beheerconsole geen ritten, routes, adressen of posities, en kunnen de console van een klant niet openen.</w:t>
      </w:r>
    </w:p>
    <w:p>
      <w:pPr>
        <w:spacing w:after="60"/>
      </w:pPr>
    </w:p>
    <w:p>
      <w:pPr>
        <w:pStyle w:val="Heading1"/>
        <w:keepNext/>
        <w:spacing w:after="120" w:before="280"/>
      </w:pPr>
      <w:r>
        <w:rPr>
          <w:rFonts w:ascii="Calibri" w:cs="Calibri" w:eastAsia="Calibri" w:hAnsi="Calibri"/>
          <w:b/>
          <w:bCs/>
          <w:color w:val="1F1F1F"/>
          <w:sz w:val="26"/>
          <w:szCs w:val="26"/>
        </w:rPr>
        <w:t xml:space="preserve">4. Rechten van de betrokkenen</w:t>
      </w:r>
    </w:p>
    <w:p>
      <w:pPr>
        <w:pStyle w:val="ListParagraph"/>
        <w:numPr>
          <w:ilvl w:val="0"/>
          <w:numId w:val="2"/>
        </w:numPr>
        <w:spacing w:after="60" w:line="276"/>
      </w:pPr>
      <w:r>
        <w:rPr>
          <w:rFonts w:ascii="Calibri" w:cs="Calibri" w:eastAsia="Calibri" w:hAnsi="Calibri"/>
        </w:rPr>
        <w:t xml:space="preserve">Informatie: de informatiebrief voor chauffeurs en het beleid, vóór de eerste werkdag.</w:t>
      </w:r>
    </w:p>
    <w:p>
      <w:pPr>
        <w:pStyle w:val="ListParagraph"/>
        <w:numPr>
          <w:ilvl w:val="0"/>
          <w:numId w:val="2"/>
        </w:numPr>
        <w:spacing w:after="60" w:line="276"/>
      </w:pPr>
      <w:r>
        <w:rPr>
          <w:rFonts w:ascii="Calibri" w:cs="Calibri" w:eastAsia="Calibri" w:hAnsi="Calibri"/>
        </w:rPr>
        <w:t xml:space="preserve">Inzage en kopie: de chauffeur ziet zijn werkdagen, ritten en bonnetjes in de app; de werkgever kan een export maken in de console.</w:t>
      </w:r>
    </w:p>
    <w:p>
      <w:pPr>
        <w:pStyle w:val="ListParagraph"/>
        <w:numPr>
          <w:ilvl w:val="0"/>
          <w:numId w:val="2"/>
        </w:numPr>
        <w:spacing w:after="60" w:line="276"/>
      </w:pPr>
      <w:r>
        <w:rPr>
          <w:rFonts w:ascii="Calibri" w:cs="Calibri" w:eastAsia="Calibri" w:hAnsi="Calibri"/>
        </w:rPr>
        <w:t xml:space="preserve">Verbetering: de chauffeur kan een rit privé maken; de werkgever kan het voertuig, de klant en notities verbeteren.</w:t>
      </w:r>
    </w:p>
    <w:p>
      <w:pPr>
        <w:pStyle w:val="ListParagraph"/>
        <w:numPr>
          <w:ilvl w:val="0"/>
          <w:numId w:val="2"/>
        </w:numPr>
        <w:spacing w:after="60" w:line="276"/>
      </w:pPr>
      <w:r>
        <w:rPr>
          <w:rFonts w:ascii="Calibri" w:cs="Calibri" w:eastAsia="Calibri" w:hAnsi="Calibri"/>
        </w:rPr>
        <w:t xml:space="preserve">Wissing en beperking: op vraag aan de werkgever, die TrapSpotter laat uitvoeren waar de console het niet kan (binnen tien werkdagen).</w:t>
      </w:r>
    </w:p>
    <w:p>
      <w:pPr>
        <w:pStyle w:val="ListParagraph"/>
        <w:numPr>
          <w:ilvl w:val="0"/>
          <w:numId w:val="2"/>
        </w:numPr>
        <w:spacing w:after="60" w:line="276"/>
      </w:pPr>
      <w:r>
        <w:rPr>
          <w:rFonts w:ascii="Calibri" w:cs="Calibri" w:eastAsia="Calibri" w:hAnsi="Calibri"/>
        </w:rPr>
        <w:t xml:space="preserve">Bezwaar: tegen verwerkingen op basis van een gerechtvaardigd belang, te beoordelen door de werkgever.</w:t>
      </w:r>
    </w:p>
    <w:p>
      <w:pPr>
        <w:pStyle w:val="ListParagraph"/>
        <w:numPr>
          <w:ilvl w:val="0"/>
          <w:numId w:val="2"/>
        </w:numPr>
        <w:spacing w:after="60" w:line="276"/>
      </w:pPr>
      <w:r>
        <w:rPr>
          <w:rFonts w:ascii="Calibri" w:cs="Calibri" w:eastAsia="Calibri" w:hAnsi="Calibri"/>
        </w:rPr>
        <w:t xml:space="preserve">Contactpunt: </w:t>
      </w:r>
      <w:r>
        <w:rPr>
          <w:rFonts w:ascii="Calibri" w:cs="Calibri" w:eastAsia="Calibri" w:hAnsi="Calibri"/>
          <w:highlight w:val="yellow"/>
        </w:rPr>
        <w:t xml:space="preserve">[naam, e-mailadres]</w:t>
      </w:r>
      <w:r>
        <w:rPr>
          <w:rFonts w:ascii="Calibri" w:cs="Calibri" w:eastAsia="Calibri" w:hAnsi="Calibri"/>
        </w:rPr>
        <w:t xml:space="preserve">. Klacht: de Autoriteit Persoonsgegevens (AP) (autoriteitpersoonsgegevens.nl).</w:t>
      </w:r>
    </w:p>
    <w:p>
      <w:pPr>
        <w:spacing w:after="60"/>
      </w:pPr>
    </w:p>
    <w:p>
      <w:pPr>
        <w:pStyle w:val="Heading1"/>
        <w:keepNext/>
        <w:spacing w:after="120" w:before="280"/>
      </w:pPr>
      <w:r>
        <w:rPr>
          <w:rFonts w:ascii="Calibri" w:cs="Calibri" w:eastAsia="Calibri" w:hAnsi="Calibri"/>
          <w:b/>
          <w:bCs/>
          <w:color w:val="1F1F1F"/>
          <w:sz w:val="26"/>
          <w:szCs w:val="26"/>
        </w:rPr>
        <w:t xml:space="preserve">5. Risico’s en maatregelen</w:t>
      </w:r>
    </w:p>
    <w:p>
      <w:pPr>
        <w:spacing w:after="120" w:line="276"/>
      </w:pPr>
      <w:r>
        <w:rPr>
          <w:rFonts w:ascii="Calibri" w:cs="Calibri" w:eastAsia="Calibri" w:hAnsi="Calibri"/>
        </w:rPr>
        <w:t xml:space="preserve">Schaal: waarschijnlijkheid en ernst laag, middel of hoog. De beoordeling vóór maatregelen gaat uit van een volgsysteem zonder de ingebouwde maatregelen. Pas ze aan uw situatie aan.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Risico voor de chauffeurs</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Vóór maatregelen</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Maatregelen</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Restrisico</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Gevolgd worden buiten de werktijd of tijdens privéritten</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Alleen tijdens een werkdag; automatische stop; privéritten gestript; beleid en informatiebrief</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Voortdurend toezicht en druk door live posities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middel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Standaard uit; alleen aan bij een echte nood; één positie per minuut; 30 minuten bewaard; zichtbaar voor de chauffeur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Gebruik voor andere doeleinden (prestaties, sancties, snelheid)</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Doelbinding in het beleid; snelheid niet getoond; toegang per rol; logboek</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Te ruime toegang binnen het bedrijf</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middel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Alleen de nodige beheerders; boetes alleen voor eigenaar en beheerders; logboek</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Onjuiste gegevens (GPS, verkeerd voertuig) en daardoor een verkeerde aanwijzing bij een boete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Voertuigkeuze bij de start; correctie door een beheerder; bevestiging door de chauffeur; controle vóór de aanwijzing</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Gevoelige afleidingen uit plaatsen (bijvoorbeeld een bezoek aan een arts tijdens de werkdag)</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Laag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Privéritten; korte bewaring; geen analyse van plaatsen</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Boetegegevens (artikel 10 AVG) bij onbevoegden</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Laag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Beperkte toegang; vertrouwelijkheid; korte bewaring (uiterlijk 24 maanden)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Inbreuk bij TrapSpotter of een subverwerker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Laag / hoog</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Maatregelen uit bijlage 2 van de verwerkersovereenkomst; hosting in de EU; melding binnen 48 uur</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Doorgifte buiten de EER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Laag / middel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Opslag in de EU; standaardcontractbepalingen of het EU-VS-gegevensprivacykader bij subverwerkers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Te lange bewaring</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middel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Bewaartermijnen in het beleid; wissing op vraag; wissing na het einde van het contract</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[Hangt af van uw opvolging]</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Chauffeurs kennen hun rechten niet</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Middel / middel</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Informatiebrief, beleid, contactpunt</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Laag</w:t>
            </w:r>
          </w:p>
        </w:tc>
      </w:tr>
    </w:tbl>
    <w:p>
      <w:pPr>
        <w:spacing w:after="120"/>
      </w:pPr>
    </w:p>
    <w:p>
      <w:pPr>
        <w:pStyle w:val="Heading1"/>
        <w:keepNext/>
        <w:spacing w:after="120" w:before="280"/>
      </w:pPr>
      <w:r>
        <w:rPr>
          <w:rFonts w:ascii="Calibri" w:cs="Calibri" w:eastAsia="Calibri" w:hAnsi="Calibri"/>
          <w:b/>
          <w:bCs/>
          <w:color w:val="1F1F1F"/>
          <w:sz w:val="26"/>
          <w:szCs w:val="26"/>
        </w:rPr>
        <w:t xml:space="preserve">6. Raadpleging</w:t>
      </w:r>
    </w:p>
    <w:p>
      <w:pPr>
        <w:spacing w:after="120" w:line="276"/>
      </w:pPr>
      <w:r>
        <w:rPr>
          <w:rFonts w:ascii="Calibri" w:cs="Calibri" w:eastAsia="Calibri" w:hAnsi="Calibri"/>
        </w:rPr>
        <w:t xml:space="preserve">Leg de regeling ter instemming voor aan de ondernemingsraad (artikel 27 WOR) en voeg zijn standpunt toe. Vraag waar passend de mening van de chauffeurs (artikel 35, lid 9 AVG).</w:t>
      </w:r>
    </w:p>
    <w:p>
      <w:pPr>
        <w:spacing w:after="140"/>
      </w:pPr>
      <w:r>
        <w:rPr>
          <w:rFonts w:ascii="Calibri" w:cs="Calibri" w:eastAsia="Calibri" w:hAnsi="Calibri"/>
        </w:rPr>
        <w:t xml:space="preserve">Advies van de functionaris voor gegevensbescherming (datum, samenvatting): </w:t>
      </w:r>
      <w:r>
        <w:rPr>
          <w:rFonts w:ascii="Calibri" w:cs="Calibri" w:eastAsia="Calibri" w:hAnsi="Calibri"/>
          <w:color w:val="7F7F7F"/>
        </w:rPr>
        <w:t xml:space="preserve">__________</w:t>
      </w:r>
    </w:p>
    <w:p>
      <w:pPr>
        <w:spacing w:after="140"/>
      </w:pPr>
      <w:r>
        <w:rPr>
          <w:rFonts w:ascii="Calibri" w:cs="Calibri" w:eastAsia="Calibri" w:hAnsi="Calibri"/>
        </w:rPr>
        <w:t xml:space="preserve">Standpunt van de chauffeurs of hun vertegenwoordigers (datum, samenvatting):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Conclusie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De restrisico’s zijn aanvaardbaar met de maatregelen hierboven. De verwerking kan starten op </w:t>
      </w:r>
      <w:r>
        <w:rPr>
          <w:rFonts w:ascii="Calibri" w:cs="Calibri" w:eastAsia="Calibri" w:hAnsi="Calibri"/>
          <w:highlight w:val="yellow"/>
        </w:rPr>
        <w:t xml:space="preserve">[datum]</w:t>
      </w:r>
      <w:r>
        <w:rPr>
          <w:rFonts w:ascii="Calibri" w:cs="Calibri" w:eastAsia="Calibri" w:hAnsi="Calibri"/>
        </w:rPr>
        <w:t xml:space="preserv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Er blijft een hoog restrisico. De werkgever raadpleegt de Autoriteit Persoonsgegevens (AP) vóór de start (artikel 36 AVG).</w:t>
      </w:r>
    </w:p>
    <w:p>
      <w:pPr>
        <w:spacing w:after="60"/>
      </w:pPr>
    </w:p>
    <w:p>
      <w:pPr>
        <w:spacing w:after="140"/>
      </w:pPr>
      <w:r>
        <w:rPr>
          <w:rFonts w:ascii="Calibri" w:cs="Calibri" w:eastAsia="Calibri" w:hAnsi="Calibri"/>
        </w:rPr>
        <w:t xml:space="preserve">Volgende herziening: </w:t>
      </w:r>
      <w:r>
        <w:rPr>
          <w:rFonts w:ascii="Calibri" w:cs="Calibri" w:eastAsia="Calibri" w:hAnsi="Calibri"/>
          <w:color w:val="7F7F7F"/>
        </w:rPr>
        <w:t xml:space="preserve">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Voor de verwerkingsverantwoordelijke</w:t>
            </w:r>
          </w:p>
          <w:p>
            <w:pPr>
              <w:spacing w:after="160"/>
            </w:pPr>
            <w:r>
              <w:rPr>
                <w:rFonts w:ascii="Calibri" w:cs="Calibri" w:eastAsia="Calibri" w:hAnsi="Calibri"/>
              </w:rPr>
              <w:t xml:space="preserve">Naam: ________________________</w:t>
            </w:r>
          </w:p>
          <w:p>
            <w:pPr>
              <w:spacing w:after="160"/>
            </w:pPr>
            <w:r>
              <w:rPr>
                <w:rFonts w:ascii="Calibri" w:cs="Calibri" w:eastAsia="Calibri" w:hAnsi="Calibri"/>
              </w:rPr>
              <w:t xml:space="preserve">Functie: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Handtekening: ________________________</w:t>
            </w:r>
          </w:p>
        </w:tc>
      </w:tr>
    </w:tbl>
    <w:p>
      <w:pPr>
        <w:pStyle w:val="Heading1"/>
        <w:keepNext/>
        <w:spacing w:after="120" w:before="280"/>
      </w:pPr>
      <w:r>
        <w:rPr>
          <w:rFonts w:ascii="Calibri" w:cs="Calibri" w:eastAsia="Calibri" w:hAnsi="Calibri"/>
          <w:b/>
          <w:bCs/>
          <w:color w:val="1F1F1F"/>
          <w:sz w:val="26"/>
          <w:szCs w:val="26"/>
        </w:rPr>
        <w:t xml:space="preserve">Bijlage: wettelijke verwijzingen voor Nederland</w:t>
      </w:r>
    </w:p>
    <w:p>
      <w:pPr>
        <w:pStyle w:val="ListParagraph"/>
        <w:numPr>
          <w:ilvl w:val="0"/>
          <w:numId w:val="2"/>
        </w:numPr>
        <w:spacing w:after="60" w:line="276"/>
      </w:pPr>
      <w:r>
        <w:rPr>
          <w:rFonts w:ascii="Calibri" w:cs="Calibri" w:eastAsia="Calibri" w:hAnsi="Calibri"/>
        </w:rPr>
        <w:t xml:space="preserve">Wet op de ondernemingsraden, artikel 27, lid 1, onder k en l, en lid 4 en 5: wetten.overheid.nl/BWBR0002747.</w:t>
      </w:r>
    </w:p>
    <w:p>
      <w:pPr>
        <w:pStyle w:val="ListParagraph"/>
        <w:numPr>
          <w:ilvl w:val="0"/>
          <w:numId w:val="2"/>
        </w:numPr>
        <w:spacing w:after="60" w:line="276"/>
      </w:pPr>
      <w:r>
        <w:rPr>
          <w:rFonts w:ascii="Calibri" w:cs="Calibri" w:eastAsia="Calibri" w:hAnsi="Calibri"/>
        </w:rPr>
        <w:t xml:space="preserve">Autoriteit Persoonsgegevens, ‘Controle van werknemers’ en ‘De OR en personeelsvolgsystemen’: autoriteitpersoonsgegevens.nl.</w:t>
      </w:r>
    </w:p>
    <w:p>
      <w:pPr>
        <w:pStyle w:val="ListParagraph"/>
        <w:numPr>
          <w:ilvl w:val="0"/>
          <w:numId w:val="2"/>
        </w:numPr>
        <w:spacing w:after="60" w:line="276"/>
      </w:pPr>
      <w:r>
        <w:rPr>
          <w:rFonts w:ascii="Calibri" w:cs="Calibri" w:eastAsia="Calibri" w:hAnsi="Calibri"/>
        </w:rPr>
        <w:t xml:space="preserve">Besluit lijst van verwerkingen waarvoor een DPIA verplicht is, Stcrt. 2019, 64418, punten 11 en 12.</w:t>
      </w:r>
    </w:p>
    <w:p>
      <w:pPr>
        <w:pStyle w:val="ListParagraph"/>
        <w:numPr>
          <w:ilvl w:val="0"/>
          <w:numId w:val="2"/>
        </w:numPr>
        <w:spacing w:after="60" w:line="276"/>
      </w:pPr>
      <w:r>
        <w:rPr>
          <w:rFonts w:ascii="Calibri" w:cs="Calibri" w:eastAsia="Calibri" w:hAnsi="Calibri"/>
        </w:rPr>
        <w:t xml:space="preserve">Wet administratiefrechtelijke handhaving verkeersvoorschriften (WAHV), artikelen 5 en 8: wetten.overheid.nl/BWBR0004581.</w:t>
      </w:r>
    </w:p>
    <w:p>
      <w:pPr>
        <w:pStyle w:val="ListParagraph"/>
        <w:numPr>
          <w:ilvl w:val="0"/>
          <w:numId w:val="2"/>
        </w:numPr>
        <w:spacing w:after="60" w:line="276"/>
      </w:pPr>
      <w:r>
        <w:rPr>
          <w:rFonts w:ascii="Calibri" w:cs="Calibri" w:eastAsia="Calibri" w:hAnsi="Calibri"/>
        </w:rPr>
        <w:t xml:space="preserve">Wegenverkeerswet 1994, artikelen 165, 177 en 181: wetten.overheid.nl/BWBR0006622.</w:t>
      </w:r>
    </w:p>
    <w:p>
      <w:pPr>
        <w:pStyle w:val="ListParagraph"/>
        <w:numPr>
          <w:ilvl w:val="0"/>
          <w:numId w:val="2"/>
        </w:numPr>
        <w:spacing w:after="60" w:line="276"/>
      </w:pPr>
      <w:r>
        <w:rPr>
          <w:rFonts w:ascii="Calibri" w:cs="Calibri" w:eastAsia="Calibri" w:hAnsi="Calibri"/>
        </w:rPr>
        <w:t xml:space="preserve">Uitvoeringswet AVG, artikelen 31 tot 33: wetten.overheid.nl/BWBR0040940; memorie van toelichting Verzamelwet gegevensbescherming, Kamerstuk 36 264, nr. 3.</w:t>
      </w:r>
    </w:p>
    <w:p>
      <w:pPr>
        <w:pStyle w:val="ListParagraph"/>
        <w:numPr>
          <w:ilvl w:val="0"/>
          <w:numId w:val="2"/>
        </w:numPr>
        <w:spacing w:after="60" w:line="276"/>
      </w:pPr>
      <w:r>
        <w:rPr>
          <w:rFonts w:ascii="Calibri" w:cs="Calibri" w:eastAsia="Calibri" w:hAnsi="Calibri"/>
        </w:rPr>
        <w:t xml:space="preserve">Kilometervergoeding: artikel 31a, lid 2, onder a, Wet op de loonbelasting 1964 (€0,23) en het beleidsbesluit van 17 mei 2026 (Stcrt. 2026, 18302): €0,25 per kilometer vanaf 1 januari 2026, tot dat besluit vervalt op 1 januari 2027.</w:t>
      </w:r>
    </w:p>
    <w:p>
      <w:pPr>
        <w:pStyle w:val="ListParagraph"/>
        <w:numPr>
          <w:ilvl w:val="0"/>
          <w:numId w:val="2"/>
        </w:numPr>
        <w:spacing w:after="60" w:line="276"/>
      </w:pPr>
      <w:r>
        <w:rPr>
          <w:rFonts w:ascii="Calibri" w:cs="Calibri" w:eastAsia="Calibri" w:hAnsi="Calibri"/>
        </w:rPr>
        <w:t xml:space="preserve">RVV 1990, artikel 61a (telefoon vasthouden tijdens het rijden); Besluit voertuigen, artikelen 2 en 3 (radardetectoren).</w:t>
      </w:r>
    </w:p>
    <w:p>
      <w:pPr>
        <w:pStyle w:val="ListParagraph"/>
        <w:numPr>
          <w:ilvl w:val="0"/>
          <w:numId w:val="2"/>
        </w:numPr>
        <w:spacing w:after="60" w:line="276"/>
      </w:pPr>
      <w:r>
        <w:rPr>
          <w:rFonts w:ascii="Calibri" w:cs="Calibri" w:eastAsia="Calibri" w:hAnsi="Calibri"/>
        </w:rPr>
        <w:t xml:space="preserve">Verordening (EU) 2016/679 (AVG), artikelen 6, 10, 13, 30 en 35.</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Gegevensbeschermingseffectbeoordeling (DPIA): TrapSpotter Fleet · Model van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Gegevensbeschermingseffectbeoordeling (DPIA): TrapSpotter Fleet</dc:title>
  <dc:creator>TrapSpotter BV</dc:creator>
  <dc:description>Model van TrapSpotter BV voor klanten van TrapSpotter Fleet (Nederland)</dc:description>
  <cp:lastModifiedBy>Un-named</cp:lastModifiedBy>
  <cp:revision>1</cp:revision>
  <dcterms:created xsi:type="dcterms:W3CDTF">2026-10-08T23:12:48.936Z</dcterms:created>
  <dcterms:modified xsi:type="dcterms:W3CDTF">2026-10-08T23:12:48.936Z</dcterms:modified>
</cp:coreProperties>
</file>

<file path=docProps/custom.xml><?xml version="1.0" encoding="utf-8"?>
<Properties xmlns="http://schemas.openxmlformats.org/officeDocument/2006/custom-properties" xmlns:vt="http://schemas.openxmlformats.org/officeDocument/2006/docPropsVTypes"/>
</file>