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Data protection impact assessment (DPIA):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pre-filled for the Fleet plan · Article 35 GDPR · the Netherlands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w:t>
            </w:r>
          </w:p>
          <w:p>
            <w:pPr>
              <w:pStyle w:val="ListParagraph"/>
              <w:numPr>
                <w:ilvl w:val="0"/>
                <w:numId w:val="2"/>
              </w:numPr>
              <w:spacing w:after="60"/>
            </w:pPr>
            <w:r>
              <w:rPr>
                <w:rFonts w:ascii="Calibri" w:cs="Calibri" w:eastAsia="Calibri" w:hAnsi="Calibri"/>
              </w:rPr>
              <w:t xml:space="preserve">TrapSpotter BV has filled in what the service does. You add what depends on your company (yellow fields), assess the risks for your situation, seek the advice of your data protection officer if you have one, and sign.</w:t>
            </w:r>
          </w:p>
          <w:p>
            <w:pPr>
              <w:pStyle w:val="ListParagraph"/>
              <w:numPr>
                <w:ilvl w:val="0"/>
                <w:numId w:val="2"/>
              </w:numPr>
              <w:spacing w:after="60"/>
            </w:pPr>
            <w:r>
              <w:rPr>
                <w:rFonts w:ascii="Calibri" w:cs="Calibri" w:eastAsia="Calibri" w:hAnsi="Calibri"/>
              </w:rPr>
              <w:t xml:space="preserve">Carry out the DPIA before the first workday and keep it: the Dutch Data Protection Authority (Autoriteit Persoonsgegevens, AP) may ask for it.</w:t>
            </w:r>
          </w:p>
          <w:p>
            <w:pPr>
              <w:pStyle w:val="ListParagraph"/>
              <w:numPr>
                <w:ilvl w:val="0"/>
                <w:numId w:val="2"/>
              </w:numPr>
              <w:spacing w:after="60"/>
            </w:pPr>
            <w:r>
              <w:rPr>
                <w:rFonts w:ascii="Calibri" w:cs="Calibri" w:eastAsia="Calibri" w:hAnsi="Calibri"/>
              </w:rPr>
              <w:t xml:space="preserve">Review the DPIA whenever your use or the service changes, and at least </w:t>
            </w:r>
            <w:r>
              <w:rPr>
                <w:rFonts w:ascii="Calibri" w:cs="Calibri" w:eastAsia="Calibri" w:hAnsi="Calibri"/>
                <w:highlight w:val="yellow"/>
              </w:rPr>
              <w:t xml:space="preserve">[annually]</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Controller (company, address): </w:t>
      </w:r>
      <w:r>
        <w:rPr>
          <w:rFonts w:ascii="Calibri" w:cs="Calibri" w:eastAsia="Calibri" w:hAnsi="Calibri"/>
          <w:color w:val="7F7F7F"/>
        </w:rPr>
        <w:t xml:space="preserve">_______________________________</w:t>
      </w:r>
    </w:p>
    <w:p>
      <w:pPr>
        <w:spacing w:after="140"/>
      </w:pPr>
      <w:r>
        <w:rPr>
          <w:rFonts w:ascii="Calibri" w:cs="Calibri" w:eastAsia="Calibri" w:hAnsi="Calibri"/>
        </w:rPr>
        <w:t xml:space="preserve">Contact person: </w:t>
      </w:r>
      <w:r>
        <w:rPr>
          <w:rFonts w:ascii="Calibri" w:cs="Calibri" w:eastAsia="Calibri" w:hAnsi="Calibri"/>
          <w:color w:val="7F7F7F"/>
        </w:rPr>
        <w:t xml:space="preserve">______________________________________________</w:t>
      </w:r>
    </w:p>
    <w:p>
      <w:pPr>
        <w:spacing w:after="140"/>
      </w:pPr>
      <w:r>
        <w:rPr>
          <w:rFonts w:ascii="Calibri" w:cs="Calibri" w:eastAsia="Calibri" w:hAnsi="Calibri"/>
        </w:rPr>
        <w:t xml:space="preserve">Data protection officer (if designated): </w:t>
      </w:r>
      <w:r>
        <w:rPr>
          <w:rFonts w:ascii="Calibri" w:cs="Calibri" w:eastAsia="Calibri" w:hAnsi="Calibri"/>
          <w:color w:val="7F7F7F"/>
        </w:rPr>
        <w:t xml:space="preserve">_____________________</w:t>
      </w:r>
    </w:p>
    <w:p>
      <w:pPr>
        <w:spacing w:after="140"/>
      </w:pPr>
      <w:r>
        <w:rPr>
          <w:rFonts w:ascii="Calibri" w:cs="Calibri" w:eastAsia="Calibri" w:hAnsi="Calibri"/>
        </w:rPr>
        <w:t xml:space="preserve">Date of this DPIA: </w:t>
      </w:r>
      <w:r>
        <w:rPr>
          <w:rFonts w:ascii="Calibri" w:cs="Calibri" w:eastAsia="Calibri" w:hAnsi="Calibri"/>
          <w:color w:val="7F7F7F"/>
        </w:rPr>
        <w:t xml:space="preserve">___________________________________________</w:t>
      </w:r>
    </w:p>
    <w:p>
      <w:pPr>
        <w:spacing w:after="140"/>
      </w:pPr>
      <w:r>
        <w:rPr>
          <w:rFonts w:ascii="Calibri" w:cs="Calibri" w:eastAsia="Calibri" w:hAnsi="Calibri"/>
        </w:rPr>
        <w:t xml:space="preserve">Version: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Is a DPIA mandatory?</w:t>
      </w:r>
    </w:p>
    <w:p>
      <w:pPr>
        <w:spacing w:after="120" w:line="276"/>
      </w:pPr>
      <w:r>
        <w:rPr>
          <w:rFonts w:ascii="Calibri" w:cs="Calibri" w:eastAsia="Calibri" w:hAnsi="Calibri"/>
          <w:b/>
          <w:bCs/>
        </w:rPr>
        <w:t xml:space="preserve">Yes, for Fleet.</w:t>
      </w:r>
      <w:r>
        <w:rPr>
          <w:rFonts w:ascii="Calibri" w:cs="Calibri" w:eastAsia="Calibri" w:hAnsi="Calibri"/>
        </w:rPr>
        <w:t xml:space="preserve"> The list of the Autoriteit Persoonsgegevens (Stcrt. 2019, 64418) mentions in point 11 the systematic monitoring of employees’ activities, with GPS systems in employees’ cars and lorries as an example, and in point 12 the systematic monitoring of location data. The AP also writes that anyone who wants to use GPS trackers in employees’ cars must first carry out a DPIA.</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does not record workdays, trips or positions; the employer only manages seats (name, email address and the data that the employer enters itself). That processing is not on the supervisory authority’s list and, in our assessment, meets only the ‘employees’ criterion of the guidelines of the European supervisory authorities (WP 248), not two criteria. A DPIA is therefore in principle not mandatory for Teams; do, however, include the processing in your record of processing activities (Article 30 GDPR).</w:t>
      </w:r>
    </w:p>
    <w:p>
      <w:pPr>
        <w:pStyle w:val="Heading1"/>
        <w:keepNext/>
        <w:spacing w:after="120" w:before="280"/>
      </w:pPr>
      <w:r>
        <w:rPr>
          <w:rFonts w:ascii="Calibri" w:cs="Calibri" w:eastAsia="Calibri" w:hAnsi="Calibri"/>
          <w:b/>
          <w:bCs/>
          <w:color w:val="1F1F1F"/>
          <w:sz w:val="26"/>
          <w:szCs w:val="26"/>
        </w:rPr>
        <w:t xml:space="preserve">2. Description of the processing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Item</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Controller</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[Company name, address, company number]</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Processor</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Belgium, enterprise number 1031.603.017) (data processing agreement attached to the business terms)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Data subjects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Drivers: </w:t>
            </w:r>
            <w:r>
              <w:rPr>
                <w:rFonts w:ascii="Calibri" w:cs="Calibri" w:eastAsia="Calibri" w:hAnsi="Calibri"/>
                <w:sz w:val="19"/>
                <w:szCs w:val="19"/>
                <w:highlight w:val="yellow"/>
              </w:rPr>
              <w:t xml:space="preserve">[number]</w:t>
            </w:r>
            <w:r>
              <w:rPr>
                <w:rFonts w:ascii="Calibri" w:cs="Calibri" w:eastAsia="Calibri" w:hAnsi="Calibri"/>
                <w:sz w:val="19"/>
                <w:szCs w:val="19"/>
              </w:rPr>
              <w:t xml:space="preserve"> employees and other workers whom the company invites; owners and administrators; contact persons at customers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Purposes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[Copy the purposes that you ticked in the policy]</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Means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The TrapSpotter app (iOS, Android) on the driver’s phone </w:t>
            </w:r>
            <w:r>
              <w:rPr>
                <w:rFonts w:ascii="Calibri" w:cs="Calibri" w:eastAsia="Calibri" w:hAnsi="Calibri"/>
                <w:sz w:val="19"/>
                <w:szCs w:val="19"/>
                <w:highlight w:val="yellow"/>
              </w:rPr>
              <w:t xml:space="preserve">[own phone / company phone]</w:t>
            </w:r>
            <w:r>
              <w:rPr>
                <w:rFonts w:ascii="Calibri" w:cs="Calibri" w:eastAsia="Calibri" w:hAnsi="Calibri"/>
                <w:sz w:val="19"/>
                <w:szCs w:val="19"/>
              </w:rPr>
              <w:t xml:space="preserve">; the console at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Storage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AWS region eu-north-1 (Stockholm, Sweden); TrapSpotter’s own servers at Hetzner (Falkenstein, Germany). Sub-processors: Annex 3 to the data processing agreement</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Recipients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[Names or positions]</w:t>
            </w:r>
            <w:r>
              <w:rPr>
                <w:rFonts w:ascii="Calibri" w:cs="Calibri" w:eastAsia="Calibri" w:hAnsi="Calibri"/>
                <w:sz w:val="19"/>
                <w:szCs w:val="19"/>
              </w:rPr>
              <w:t xml:space="preserve"> in the console; TrapSpotter BV and its sub-processors; </w:t>
            </w:r>
            <w:r>
              <w:rPr>
                <w:rFonts w:ascii="Calibri" w:cs="Calibri" w:eastAsia="Calibri" w:hAnsi="Calibri"/>
                <w:sz w:val="19"/>
                <w:szCs w:val="19"/>
                <w:highlight w:val="yellow"/>
              </w:rPr>
              <w:t xml:space="preserve">[payroll provider, accountant]</w:t>
            </w:r>
          </w:p>
        </w:tc>
      </w:tr>
    </w:tbl>
    <w:p>
      <w:pPr>
        <w:spacing w:after="120"/>
      </w:pPr>
    </w:p>
    <w:p>
      <w:pPr>
        <w:spacing w:after="120" w:line="276"/>
      </w:pPr>
      <w:r>
        <w:rPr>
          <w:rFonts w:ascii="Calibri" w:cs="Calibri" w:eastAsia="Calibri" w:hAnsi="Calibri"/>
          <w:b/>
          <w:bCs/>
        </w:rPr>
        <w:t xml:space="preserve">Data by feature: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Feature</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Data</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When</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Retention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email address, phone, position, staff number, notes, role, status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As long as necessary; no later than the end of the contract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Workdays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Start, end, reason for the end, vehicle or own car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From start to stop of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Trips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Times, start and end location, route, distance, customer, vehicle, note. Private trip: only time and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Live positions (optional)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heading, speed according to the phone (speed not shown), time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During the workday, if the feature is switched on; max. 1 per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immediately when switched off</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Customers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Name, address, contact person, 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Vehicles and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make, model, odometer reading, assigned driver; document, reference, expiry date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Entered by administrators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deletion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Receipts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merchant, amount, VAT, litres, photo, decision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Submitted by the driver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[fill in]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Fines (Article 10 GDPR)</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Number plate, date, time and place of the offence, reference, time limit, status, trip and driver found, driver’s answer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When the company receives a fine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Until the fine has been dealt with or recovered (no later than 24 months)</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Mileage statement</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Calculated from workdays and trips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On request</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Not stored separately</w:t>
            </w:r>
          </w:p>
        </w:tc>
      </w:tr>
    </w:tbl>
    <w:p>
      <w:pPr>
        <w:spacing w:after="120"/>
      </w:pPr>
    </w:p>
    <w:p>
      <w:pPr>
        <w:pStyle w:val="Heading1"/>
        <w:keepNext/>
        <w:spacing w:after="120" w:before="280"/>
      </w:pPr>
      <w:r>
        <w:rPr>
          <w:rFonts w:ascii="Calibri" w:cs="Calibri" w:eastAsia="Calibri" w:hAnsi="Calibri"/>
          <w:b/>
          <w:bCs/>
          <w:color w:val="1F1F1F"/>
          <w:sz w:val="26"/>
          <w:szCs w:val="26"/>
        </w:rPr>
        <w:t xml:space="preserve">3. Legal basis, necessity and proportionality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Purpose</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Legal basis (fill in)</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Why necessary, and why nothing less intrusive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Working time and work trips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(legitimate interest); or (c), if your law requires working time to be recorded]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evidence of work performed for customers; paper trip logs are incomplete and take time]</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Mileage allowance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or (f)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allowance depends on the business kilometres actually driven]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Fleet management and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[Knowing who drives which vehicle; not missing expiry dates]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Expenses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6(1)(b) GDPR]</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[The driver requests reimbursement]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Traffic fines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6(1)(f) GDPR; for criminal-law data, Article 181(5) Wegenverkeerswet 1994 and Article 33(3) UAVG (rules with the consent of the works council). According to the legislature, Mulder fines are not Article 10 data; treated as such as a precaution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[Designating the driver correctly and within the time limit]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Live positions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6(1)(f) GDPR, only if you switch the feature 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[For example: urgent planning, assistance in the event of a breakdown. Without such a need: leave the feature off]</w:t>
            </w:r>
          </w:p>
        </w:tc>
      </w:tr>
    </w:tbl>
    <w:p>
      <w:pPr>
        <w:spacing w:after="120"/>
      </w:pPr>
    </w:p>
    <w:p>
      <w:pPr>
        <w:spacing w:after="120" w:line="276"/>
      </w:pPr>
      <w:r>
        <w:rPr>
          <w:rFonts w:ascii="Calibri" w:cs="Calibri" w:eastAsia="Calibri" w:hAnsi="Calibri"/>
          <w:b/>
          <w:bCs/>
        </w:rPr>
        <w:t xml:space="preserve">Built-in measures that limit the processing:</w:t>
      </w:r>
    </w:p>
    <w:p>
      <w:pPr>
        <w:pStyle w:val="ListParagraph"/>
        <w:numPr>
          <w:ilvl w:val="0"/>
          <w:numId w:val="2"/>
        </w:numPr>
        <w:spacing w:after="60" w:line="276"/>
      </w:pPr>
      <w:r>
        <w:rPr>
          <w:rFonts w:ascii="Calibri" w:cs="Calibri" w:eastAsia="Calibri" w:hAnsi="Calibri"/>
        </w:rPr>
        <w:t xml:space="preserve">Recording only between “Start workday” and “Stop workday”, with an automatic stop after the chosen number of hours (4 to 14).</w:t>
      </w:r>
    </w:p>
    <w:p>
      <w:pPr>
        <w:pStyle w:val="ListParagraph"/>
        <w:numPr>
          <w:ilvl w:val="0"/>
          <w:numId w:val="2"/>
        </w:numPr>
        <w:spacing w:after="60" w:line="276"/>
      </w:pPr>
      <w:r>
        <w:rPr>
          <w:rFonts w:ascii="Calibri" w:cs="Calibri" w:eastAsia="Calibri" w:hAnsi="Calibri"/>
        </w:rPr>
        <w:t xml:space="preserve">Private trips: places, route and customer are permanently deleted on the server; the database does not accept a private trip containing such data.</w:t>
      </w:r>
    </w:p>
    <w:p>
      <w:pPr>
        <w:pStyle w:val="ListParagraph"/>
        <w:numPr>
          <w:ilvl w:val="0"/>
          <w:numId w:val="2"/>
        </w:numPr>
        <w:spacing w:after="60" w:line="276"/>
      </w:pPr>
      <w:r>
        <w:rPr>
          <w:rFonts w:ascii="Calibri" w:cs="Calibri" w:eastAsia="Calibri" w:hAnsi="Calibri"/>
        </w:rPr>
        <w:t xml:space="preserve">Live positions are off by default; when on: at most one per minute, only during a workday, deleted after 30 minutes, and deleted immediately when the feature is switched off. The driver sees in the app whether they are switched on.</w:t>
      </w:r>
    </w:p>
    <w:p>
      <w:pPr>
        <w:pStyle w:val="ListParagraph"/>
        <w:numPr>
          <w:ilvl w:val="0"/>
          <w:numId w:val="2"/>
        </w:numPr>
        <w:spacing w:after="60" w:line="276"/>
      </w:pPr>
      <w:r>
        <w:rPr>
          <w:rFonts w:ascii="Calibri" w:cs="Calibri" w:eastAsia="Calibri" w:hAnsi="Calibri"/>
        </w:rPr>
        <w:t xml:space="preserve">The console does not show speed.</w:t>
      </w:r>
    </w:p>
    <w:p>
      <w:pPr>
        <w:pStyle w:val="ListParagraph"/>
        <w:numPr>
          <w:ilvl w:val="0"/>
          <w:numId w:val="2"/>
        </w:numPr>
        <w:spacing w:after="60" w:line="276"/>
      </w:pPr>
      <w:r>
        <w:rPr>
          <w:rFonts w:ascii="Calibri" w:cs="Calibri" w:eastAsia="Calibri" w:hAnsi="Calibri"/>
        </w:rPr>
        <w:t xml:space="preserve">Roles: a driver sees only their own data; fines only for the owner and the administrators; every action in the console is logged.</w:t>
      </w:r>
    </w:p>
    <w:p>
      <w:pPr>
        <w:pStyle w:val="ListParagraph"/>
        <w:numPr>
          <w:ilvl w:val="0"/>
          <w:numId w:val="2"/>
        </w:numPr>
        <w:spacing w:after="60" w:line="276"/>
      </w:pPr>
      <w:r>
        <w:rPr>
          <w:rFonts w:ascii="Calibri" w:cs="Calibri" w:eastAsia="Calibri" w:hAnsi="Calibri"/>
        </w:rPr>
        <w:t xml:space="preserve">Fines data are automatically deleted no later than 24 months after the offence; the employer can delete them earlier.</w:t>
      </w:r>
    </w:p>
    <w:p>
      <w:pPr>
        <w:pStyle w:val="ListParagraph"/>
        <w:numPr>
          <w:ilvl w:val="0"/>
          <w:numId w:val="2"/>
        </w:numPr>
        <w:spacing w:after="60" w:line="276"/>
      </w:pPr>
      <w:r>
        <w:rPr>
          <w:rFonts w:ascii="Calibri" w:cs="Calibri" w:eastAsia="Calibri" w:hAnsi="Calibri"/>
        </w:rPr>
        <w:t xml:space="preserve">Hosting in the EU; encryption in transit and at rest; no direct access to the tables; invitations with a single-use key.</w:t>
      </w:r>
    </w:p>
    <w:p>
      <w:pPr>
        <w:pStyle w:val="ListParagraph"/>
        <w:numPr>
          <w:ilvl w:val="0"/>
          <w:numId w:val="2"/>
        </w:numPr>
        <w:spacing w:after="60" w:line="276"/>
      </w:pPr>
      <w:r>
        <w:rPr>
          <w:rFonts w:ascii="Calibri" w:cs="Calibri" w:eastAsia="Calibri" w:hAnsi="Calibri"/>
        </w:rPr>
        <w:t xml:space="preserve">TrapSpotter staff do not see any trips, routes, addresses or positions in their admin console, and cannot open a customer’s console.</w:t>
      </w:r>
    </w:p>
    <w:p>
      <w:pPr>
        <w:spacing w:after="60"/>
      </w:pPr>
    </w:p>
    <w:p>
      <w:pPr>
        <w:pStyle w:val="Heading1"/>
        <w:keepNext/>
        <w:spacing w:after="120" w:before="280"/>
      </w:pPr>
      <w:r>
        <w:rPr>
          <w:rFonts w:ascii="Calibri" w:cs="Calibri" w:eastAsia="Calibri" w:hAnsi="Calibri"/>
          <w:b/>
          <w:bCs/>
          <w:color w:val="1F1F1F"/>
          <w:sz w:val="26"/>
          <w:szCs w:val="26"/>
        </w:rPr>
        <w:t xml:space="preserve">4. Rights of the data subjects</w:t>
      </w:r>
    </w:p>
    <w:p>
      <w:pPr>
        <w:pStyle w:val="ListParagraph"/>
        <w:numPr>
          <w:ilvl w:val="0"/>
          <w:numId w:val="2"/>
        </w:numPr>
        <w:spacing w:after="60" w:line="276"/>
      </w:pPr>
      <w:r>
        <w:rPr>
          <w:rFonts w:ascii="Calibri" w:cs="Calibri" w:eastAsia="Calibri" w:hAnsi="Calibri"/>
        </w:rPr>
        <w:t xml:space="preserve">Information: the information letter for drivers and the policy, before the first workday.</w:t>
      </w:r>
    </w:p>
    <w:p>
      <w:pPr>
        <w:pStyle w:val="ListParagraph"/>
        <w:numPr>
          <w:ilvl w:val="0"/>
          <w:numId w:val="2"/>
        </w:numPr>
        <w:spacing w:after="60" w:line="276"/>
      </w:pPr>
      <w:r>
        <w:rPr>
          <w:rFonts w:ascii="Calibri" w:cs="Calibri" w:eastAsia="Calibri" w:hAnsi="Calibri"/>
        </w:rPr>
        <w:t xml:space="preserve">Access and copy: the driver sees their workdays, trips and receipts in the app; the employer can create an export in the console.</w:t>
      </w:r>
    </w:p>
    <w:p>
      <w:pPr>
        <w:pStyle w:val="ListParagraph"/>
        <w:numPr>
          <w:ilvl w:val="0"/>
          <w:numId w:val="2"/>
        </w:numPr>
        <w:spacing w:after="60" w:line="276"/>
      </w:pPr>
      <w:r>
        <w:rPr>
          <w:rFonts w:ascii="Calibri" w:cs="Calibri" w:eastAsia="Calibri" w:hAnsi="Calibri"/>
        </w:rPr>
        <w:t xml:space="preserve">Rectification: the driver can make a trip private; the employer can correct the vehicle, the customer and notes.</w:t>
      </w:r>
    </w:p>
    <w:p>
      <w:pPr>
        <w:pStyle w:val="ListParagraph"/>
        <w:numPr>
          <w:ilvl w:val="0"/>
          <w:numId w:val="2"/>
        </w:numPr>
        <w:spacing w:after="60" w:line="276"/>
      </w:pPr>
      <w:r>
        <w:rPr>
          <w:rFonts w:ascii="Calibri" w:cs="Calibri" w:eastAsia="Calibri" w:hAnsi="Calibri"/>
        </w:rPr>
        <w:t xml:space="preserve">Erasure and restriction: on request to the employer, who has TrapSpotter carry it out where the console cannot (within ten working days).</w:t>
      </w:r>
    </w:p>
    <w:p>
      <w:pPr>
        <w:pStyle w:val="ListParagraph"/>
        <w:numPr>
          <w:ilvl w:val="0"/>
          <w:numId w:val="2"/>
        </w:numPr>
        <w:spacing w:after="60" w:line="276"/>
      </w:pPr>
      <w:r>
        <w:rPr>
          <w:rFonts w:ascii="Calibri" w:cs="Calibri" w:eastAsia="Calibri" w:hAnsi="Calibri"/>
        </w:rPr>
        <w:t xml:space="preserve">Objection: to processing based on a legitimate interest, to be assessed by the employer.</w:t>
      </w:r>
    </w:p>
    <w:p>
      <w:pPr>
        <w:pStyle w:val="ListParagraph"/>
        <w:numPr>
          <w:ilvl w:val="0"/>
          <w:numId w:val="2"/>
        </w:numPr>
        <w:spacing w:after="60" w:line="276"/>
      </w:pPr>
      <w:r>
        <w:rPr>
          <w:rFonts w:ascii="Calibri" w:cs="Calibri" w:eastAsia="Calibri" w:hAnsi="Calibri"/>
        </w:rPr>
        <w:t xml:space="preserve">Contact point: </w:t>
      </w:r>
      <w:r>
        <w:rPr>
          <w:rFonts w:ascii="Calibri" w:cs="Calibri" w:eastAsia="Calibri" w:hAnsi="Calibri"/>
          <w:highlight w:val="yellow"/>
        </w:rPr>
        <w:t xml:space="preserve">[name, email address]</w:t>
      </w:r>
      <w:r>
        <w:rPr>
          <w:rFonts w:ascii="Calibri" w:cs="Calibri" w:eastAsia="Calibri" w:hAnsi="Calibri"/>
        </w:rPr>
        <w:t xml:space="preserve">. Complaint: the Dutch Data Protection Authority (Autoriteit Persoonsgegevens, AP) (autoriteitpersoonsgegevens.nl).</w:t>
      </w:r>
    </w:p>
    <w:p>
      <w:pPr>
        <w:spacing w:after="60"/>
      </w:pPr>
    </w:p>
    <w:p>
      <w:pPr>
        <w:pStyle w:val="Heading1"/>
        <w:keepNext/>
        <w:spacing w:after="120" w:before="280"/>
      </w:pPr>
      <w:r>
        <w:rPr>
          <w:rFonts w:ascii="Calibri" w:cs="Calibri" w:eastAsia="Calibri" w:hAnsi="Calibri"/>
          <w:b/>
          <w:bCs/>
          <w:color w:val="1F1F1F"/>
          <w:sz w:val="26"/>
          <w:szCs w:val="26"/>
        </w:rPr>
        <w:t xml:space="preserve">5. Risks and measures</w:t>
      </w:r>
    </w:p>
    <w:p>
      <w:pPr>
        <w:spacing w:after="120" w:line="276"/>
      </w:pPr>
      <w:r>
        <w:rPr>
          <w:rFonts w:ascii="Calibri" w:cs="Calibri" w:eastAsia="Calibri" w:hAnsi="Calibri"/>
        </w:rPr>
        <w:t xml:space="preserve">Scale: likelihood and severity low, medium or high. The assessment before measures assumes a tracking system without the built-in measures. Adjust the ratings to your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Risk to the drivers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Before measures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Measures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Residual risk</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Being tracked outside working time or during private trips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during a workday; automatic stop; private trips stripped; policy and information letter</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Constant monitoring and pressure from live positions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Off by default; only on in case of genuine need; one position per minute; kept for 30 minutes; visible to the driver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Use for other purposes (performance, sanctions, speed)</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Purpose limitation in the policy; speed not shown; role-based access;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Excessive access within the company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Only the necessary administrators; fines only for the owner and administrators; activity log</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Inaccurate data (GPS, wrong vehicle) and, as a result, a wrong designation for a fine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Vehicle selection at the start; correction by an administrator; confirmation by the driver; check before the designation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Sensitive inferences from places (for example a visit to a doctor during the workday)</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Private trips; short retention; no analysis of places</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Fines data (Article 10 GDPR) in the hands of unauthorised persons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Restricted access; confidentiality; short retention (no later than 24 months)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Breach at TrapSpotter or a sub-processor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high</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Measures from Annex 2 to the data processing agreement; hosting in the EU; notification within 48 hours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 outside the EEA</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Low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Storage in the EU; standard contractual clauses or the EU-US Data Privacy Framework for sub-processors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Retention for too long</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Retention periods in the policy; deletion on request; deletion after the end of the contract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[Depends on your follow-up]</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Drivers do not know their rights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Medium / medium</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Information letter, policy, contact point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Low</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Submit the arrangement to the works council (ondernemingsraad) for consent (Article 27 WOR) and attach its views. Where appropriate, seek the views of the drivers (Article 35(9) GDPR).</w:t>
      </w:r>
    </w:p>
    <w:p>
      <w:pPr>
        <w:spacing w:after="140"/>
      </w:pPr>
      <w:r>
        <w:rPr>
          <w:rFonts w:ascii="Calibri" w:cs="Calibri" w:eastAsia="Calibri" w:hAnsi="Calibri"/>
        </w:rPr>
        <w:t xml:space="preserve">Advice of the data protection officer (date, summary): </w:t>
      </w:r>
      <w:r>
        <w:rPr>
          <w:rFonts w:ascii="Calibri" w:cs="Calibri" w:eastAsia="Calibri" w:hAnsi="Calibri"/>
          <w:color w:val="7F7F7F"/>
        </w:rPr>
        <w:t xml:space="preserve">__________</w:t>
      </w:r>
    </w:p>
    <w:p>
      <w:pPr>
        <w:spacing w:after="140"/>
      </w:pPr>
      <w:r>
        <w:rPr>
          <w:rFonts w:ascii="Calibri" w:cs="Calibri" w:eastAsia="Calibri" w:hAnsi="Calibri"/>
        </w:rPr>
        <w:t xml:space="preserve">Views of the drivers or their representatives (date, summary):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The residual risks are acceptable with the measures above. The processing can start on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A high residual risk remains. The employer consults the Dutch Data Protection Authority (Autoriteit Persoonsgegevens, AP) before the start (Article 36 GDPR).</w:t>
      </w:r>
    </w:p>
    <w:p>
      <w:pPr>
        <w:spacing w:after="60"/>
      </w:pPr>
    </w:p>
    <w:p>
      <w:pPr>
        <w:spacing w:after="140"/>
      </w:pPr>
      <w:r>
        <w:rPr>
          <w:rFonts w:ascii="Calibri" w:cs="Calibri" w:eastAsia="Calibri" w:hAnsi="Calibri"/>
        </w:rPr>
        <w:t xml:space="preserve">Next review: </w:t>
      </w:r>
      <w:r>
        <w:rPr>
          <w:rFonts w:ascii="Calibri" w:cs="Calibri" w:eastAsia="Calibri" w:hAnsi="Calibri"/>
          <w:color w:val="7F7F7F"/>
        </w:rPr>
        <w:t xml:space="preserve">_________________________________________________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For the controller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p>
      <w:pPr>
        <w:pStyle w:val="Heading1"/>
        <w:keepNext/>
        <w:spacing w:after="120" w:before="280"/>
      </w:pPr>
      <w:r>
        <w:rPr>
          <w:rFonts w:ascii="Calibri" w:cs="Calibri" w:eastAsia="Calibri" w:hAnsi="Calibri"/>
          <w:b/>
          <w:bCs/>
          <w:color w:val="1F1F1F"/>
          <w:sz w:val="26"/>
          <w:szCs w:val="26"/>
        </w:rPr>
        <w:t xml:space="preserve">Annex: legal references for the Netherlands</w:t>
      </w:r>
    </w:p>
    <w:p>
      <w:pPr>
        <w:pStyle w:val="ListParagraph"/>
        <w:numPr>
          <w:ilvl w:val="0"/>
          <w:numId w:val="2"/>
        </w:numPr>
        <w:spacing w:after="60" w:line="276"/>
      </w:pPr>
      <w:r>
        <w:rPr>
          <w:rFonts w:ascii="Calibri" w:cs="Calibri" w:eastAsia="Calibri" w:hAnsi="Calibri"/>
        </w:rPr>
        <w:t xml:space="preserve">Wet op de ondernemingsraden (Works Councils Act), Article 27(1)(k) and (l), and paragraphs 4 and 5: wetten.overheid.nl/BWBR0002747.</w:t>
      </w:r>
    </w:p>
    <w:p>
      <w:pPr>
        <w:pStyle w:val="ListParagraph"/>
        <w:numPr>
          <w:ilvl w:val="0"/>
          <w:numId w:val="2"/>
        </w:numPr>
        <w:spacing w:after="60" w:line="276"/>
      </w:pPr>
      <w:r>
        <w:rPr>
          <w:rFonts w:ascii="Calibri" w:cs="Calibri" w:eastAsia="Calibri" w:hAnsi="Calibri"/>
        </w:rPr>
        <w:t xml:space="preserve">Autoriteit Persoonsgegevens, ‘Controle van werknemers’ and ‘De OR en personeelsvolgsystemen’: autoriteitpersoonsgegevens.nl.</w:t>
      </w:r>
    </w:p>
    <w:p>
      <w:pPr>
        <w:pStyle w:val="ListParagraph"/>
        <w:numPr>
          <w:ilvl w:val="0"/>
          <w:numId w:val="2"/>
        </w:numPr>
        <w:spacing w:after="60" w:line="276"/>
      </w:pPr>
      <w:r>
        <w:rPr>
          <w:rFonts w:ascii="Calibri" w:cs="Calibri" w:eastAsia="Calibri" w:hAnsi="Calibri"/>
        </w:rPr>
        <w:t xml:space="preserve">Besluit lijst van verwerkingen waarvoor een DPIA verplicht is (Decision on the list of processing operations for which a DPIA is mandatory), Stcrt. 2019, 64418, points 11 and 12.</w:t>
      </w:r>
    </w:p>
    <w:p>
      <w:pPr>
        <w:pStyle w:val="ListParagraph"/>
        <w:numPr>
          <w:ilvl w:val="0"/>
          <w:numId w:val="2"/>
        </w:numPr>
        <w:spacing w:after="60" w:line="276"/>
      </w:pPr>
      <w:r>
        <w:rPr>
          <w:rFonts w:ascii="Calibri" w:cs="Calibri" w:eastAsia="Calibri" w:hAnsi="Calibri"/>
        </w:rPr>
        <w:t xml:space="preserve">Wet administratiefrechtelijke handhaving verkeersvoorschriften (WAHV, Administrative Enforcement of Traffic Regulations Act), Articles 5 and 8: wetten.overheid.nl/BWBR0004581.</w:t>
      </w:r>
    </w:p>
    <w:p>
      <w:pPr>
        <w:pStyle w:val="ListParagraph"/>
        <w:numPr>
          <w:ilvl w:val="0"/>
          <w:numId w:val="2"/>
        </w:numPr>
        <w:spacing w:after="60" w:line="276"/>
      </w:pPr>
      <w:r>
        <w:rPr>
          <w:rFonts w:ascii="Calibri" w:cs="Calibri" w:eastAsia="Calibri" w:hAnsi="Calibri"/>
        </w:rPr>
        <w:t xml:space="preserve">Wegenverkeerswet 1994 (Road Traffic Act 1994), Articles 165, 177 and 181: wetten.overheid.nl/BWBR0006622.</w:t>
      </w:r>
    </w:p>
    <w:p>
      <w:pPr>
        <w:pStyle w:val="ListParagraph"/>
        <w:numPr>
          <w:ilvl w:val="0"/>
          <w:numId w:val="2"/>
        </w:numPr>
        <w:spacing w:after="60" w:line="276"/>
      </w:pPr>
      <w:r>
        <w:rPr>
          <w:rFonts w:ascii="Calibri" w:cs="Calibri" w:eastAsia="Calibri" w:hAnsi="Calibri"/>
        </w:rPr>
        <w:t xml:space="preserve">Uitvoeringswet AVG (GDPR Implementation Act), Articles 31 to 33: wetten.overheid.nl/BWBR0040940; explanatory memorandum to the Verzamelwet gegevensbescherming, Kamerstuk 36 264, No 3.</w:t>
      </w:r>
    </w:p>
    <w:p>
      <w:pPr>
        <w:pStyle w:val="ListParagraph"/>
        <w:numPr>
          <w:ilvl w:val="0"/>
          <w:numId w:val="2"/>
        </w:numPr>
        <w:spacing w:after="60" w:line="276"/>
      </w:pPr>
      <w:r>
        <w:rPr>
          <w:rFonts w:ascii="Calibri" w:cs="Calibri" w:eastAsia="Calibri" w:hAnsi="Calibri"/>
        </w:rPr>
        <w:t xml:space="preserve">Mileage allowance: Article 31a(2)(a) of the Wet op de loonbelasting 1964, the Wage Tax Act 1964 (€0.23), and the policy decision of 17 May 2026 (Stcrt. 2026, 18302): €0.25 per kilometre from 1 January 2026, until that decision expires on 1 January 2027.</w:t>
      </w:r>
    </w:p>
    <w:p>
      <w:pPr>
        <w:pStyle w:val="ListParagraph"/>
        <w:numPr>
          <w:ilvl w:val="0"/>
          <w:numId w:val="2"/>
        </w:numPr>
        <w:spacing w:after="60" w:line="276"/>
      </w:pPr>
      <w:r>
        <w:rPr>
          <w:rFonts w:ascii="Calibri" w:cs="Calibri" w:eastAsia="Calibri" w:hAnsi="Calibri"/>
        </w:rPr>
        <w:t xml:space="preserve">RVV 1990 (Traffic Rules and Signs Regulations 1990), Article 61a (holding a phone while driving); Besluit voertuigen (Vehicles Decree), Articles 2 and 3 (radar detectors).</w:t>
      </w:r>
    </w:p>
    <w:p>
      <w:pPr>
        <w:pStyle w:val="ListParagraph"/>
        <w:numPr>
          <w:ilvl w:val="0"/>
          <w:numId w:val="2"/>
        </w:numPr>
        <w:spacing w:after="60" w:line="276"/>
      </w:pPr>
      <w:r>
        <w:rPr>
          <w:rFonts w:ascii="Calibri" w:cs="Calibri" w:eastAsia="Calibri" w:hAnsi="Calibri"/>
        </w:rPr>
        <w:t xml:space="preserve">Regulation (EU) 2016/679 (GDPR), Articles 6, 10, 13, 30 and 35.</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Data protection impact assessment (DPIA):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(DPIA): TrapSpotter Fleet</dc:title>
  <dc:creator>TrapSpotter BV</dc:creator>
  <dc:description>Template by TrapSpotter BV for TrapSpotter Fleet customers (the Netherlands)</dc:description>
  <cp:lastModifiedBy>Un-named</cp:lastModifiedBy>
  <cp:revision>1</cp:revision>
  <dcterms:created xsi:type="dcterms:W3CDTF">2026-10-08T23:12:48.955Z</dcterms:created>
  <dcterms:modified xsi:type="dcterms:W3CDTF">2026-10-08T23:12:48.955Z</dcterms:modified>
</cp:coreProperties>
</file>

<file path=docProps/custom.xml><?xml version="1.0" encoding="utf-8"?>
<Properties xmlns="http://schemas.openxmlformats.org/officeDocument/2006/custom-properties" xmlns:vt="http://schemas.openxmlformats.org/officeDocument/2006/docPropsVTypes"/>
</file>