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Datenschutz-Folgenabschätzung (DSFA):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Muster von TrapSpotter BV, für den Tarif Fleet vorausgefüllt · Art. 35 DSGVO · Luxemburg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Für den Arbeitgeber</w:t>
            </w:r>
          </w:p>
          <w:p>
            <w:pPr>
              <w:pStyle w:val="ListParagraph"/>
              <w:numPr>
                <w:ilvl w:val="0"/>
                <w:numId w:val="2"/>
              </w:numPr>
              <w:spacing w:after="60"/>
            </w:pPr>
            <w:r>
              <w:rPr>
                <w:rFonts w:ascii="Calibri" w:cs="Calibri" w:eastAsia="Calibri" w:hAnsi="Calibri"/>
              </w:rPr>
              <w:t xml:space="preserve">TrapSpotter BV hat ausgefüllt, was der Dienst tut. Sie ergänzen, was von Ihrem Unternehmen abhängt (gelbe Felder), bewerten die Risiken für Ihre Situation, holen den Rat Ihres Datenschutzbeauftragten ein, wenn Sie einen haben, und unterzeichnen.</w:t>
            </w:r>
          </w:p>
          <w:p>
            <w:pPr>
              <w:pStyle w:val="ListParagraph"/>
              <w:numPr>
                <w:ilvl w:val="0"/>
                <w:numId w:val="2"/>
              </w:numPr>
              <w:spacing w:after="60"/>
            </w:pPr>
            <w:r>
              <w:rPr>
                <w:rFonts w:ascii="Calibri" w:cs="Calibri" w:eastAsia="Calibri" w:hAnsi="Calibri"/>
              </w:rPr>
              <w:t xml:space="preserve">Führen Sie die DSFA vor dem ersten Arbeitstag durch und bewahren Sie sie auf; sie kann angefordert werden durch die Commission nationale pour la protection des données (CNPD, Nationale Kommission für den Datenschutz).</w:t>
            </w:r>
          </w:p>
          <w:p>
            <w:pPr>
              <w:pStyle w:val="ListParagraph"/>
              <w:numPr>
                <w:ilvl w:val="0"/>
                <w:numId w:val="2"/>
              </w:numPr>
              <w:spacing w:after="60"/>
            </w:pPr>
            <w:r>
              <w:rPr>
                <w:rFonts w:ascii="Calibri" w:cs="Calibri" w:eastAsia="Calibri" w:hAnsi="Calibri"/>
              </w:rPr>
              <w:t xml:space="preserve">Überprüfen Sie die DSFA, wenn sich Ihre Nutzung oder der Dienst ändert, und mindestens </w:t>
            </w:r>
            <w:r>
              <w:rPr>
                <w:rFonts w:ascii="Calibri" w:cs="Calibri" w:eastAsia="Calibri" w:hAnsi="Calibri"/>
                <w:highlight w:val="yellow"/>
              </w:rPr>
              <w:t xml:space="preserve">[jährlich]</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Verantwortlicher (Unternehmen, Anschrift): </w:t>
      </w:r>
      <w:r>
        <w:rPr>
          <w:rFonts w:ascii="Calibri" w:cs="Calibri" w:eastAsia="Calibri" w:hAnsi="Calibri"/>
          <w:color w:val="7F7F7F"/>
        </w:rPr>
        <w:t xml:space="preserve">___________________</w:t>
      </w:r>
    </w:p>
    <w:p>
      <w:pPr>
        <w:spacing w:after="140"/>
      </w:pPr>
      <w:r>
        <w:rPr>
          <w:rFonts w:ascii="Calibri" w:cs="Calibri" w:eastAsia="Calibri" w:hAnsi="Calibri"/>
        </w:rPr>
        <w:t xml:space="preserve">Ansprechpartner: </w:t>
      </w:r>
      <w:r>
        <w:rPr>
          <w:rFonts w:ascii="Calibri" w:cs="Calibri" w:eastAsia="Calibri" w:hAnsi="Calibri"/>
          <w:color w:val="7F7F7F"/>
        </w:rPr>
        <w:t xml:space="preserve">_____________________________________________</w:t>
      </w:r>
    </w:p>
    <w:p>
      <w:pPr>
        <w:spacing w:after="140"/>
      </w:pPr>
      <w:r>
        <w:rPr>
          <w:rFonts w:ascii="Calibri" w:cs="Calibri" w:eastAsia="Calibri" w:hAnsi="Calibri"/>
        </w:rPr>
        <w:t xml:space="preserve">Datenschutzbeauftragter (falls benannt): </w:t>
      </w:r>
      <w:r>
        <w:rPr>
          <w:rFonts w:ascii="Calibri" w:cs="Calibri" w:eastAsia="Calibri" w:hAnsi="Calibri"/>
          <w:color w:val="7F7F7F"/>
        </w:rPr>
        <w:t xml:space="preserve">_____________________</w:t>
      </w:r>
    </w:p>
    <w:p>
      <w:pPr>
        <w:spacing w:after="140"/>
      </w:pPr>
      <w:r>
        <w:rPr>
          <w:rFonts w:ascii="Calibri" w:cs="Calibri" w:eastAsia="Calibri" w:hAnsi="Calibri"/>
        </w:rPr>
        <w:t xml:space="preserve">Datum dieser DSFA: </w:t>
      </w:r>
      <w:r>
        <w:rPr>
          <w:rFonts w:ascii="Calibri" w:cs="Calibri" w:eastAsia="Calibri" w:hAnsi="Calibri"/>
          <w:color w:val="7F7F7F"/>
        </w:rPr>
        <w:t xml:space="preserve">___________________________________________</w:t>
      </w:r>
    </w:p>
    <w:p>
      <w:pPr>
        <w:spacing w:after="140"/>
      </w:pPr>
      <w:r>
        <w:rPr>
          <w:rFonts w:ascii="Calibri" w:cs="Calibri" w:eastAsia="Calibri" w:hAnsi="Calibri"/>
        </w:rPr>
        <w:t xml:space="preserve">Version: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Ist eine DSFA verpflichtend?</w:t>
      </w:r>
    </w:p>
    <w:p>
      <w:pPr>
        <w:spacing w:after="120" w:line="276"/>
      </w:pPr>
      <w:r>
        <w:rPr>
          <w:rFonts w:ascii="Calibri" w:cs="Calibri" w:eastAsia="Calibri" w:hAnsi="Calibri"/>
          <w:b/>
          <w:bCs/>
        </w:rPr>
        <w:t xml:space="preserve">Ja, für Fleet.</w:t>
      </w:r>
      <w:r>
        <w:rPr>
          <w:rFonts w:ascii="Calibri" w:cs="Calibri" w:eastAsia="Calibri" w:hAnsi="Calibri"/>
        </w:rPr>
        <w:t xml:space="preserve"> Die Liste der CNPD (Beschluss Nr. 34/2019 vom 6. März 2019) nennt die systematische Verfolgung des Standorts natürlicher Personen (Punkt 7) und die regelmäßige und systematische Kontrolle der Tätigkeiten von Arbeitnehmern (Punkt 4). Nach den Leitlinien der CNPD zur Geolokalisierung von Fahrzeugen ist eine DSFA erforderlich, wenn das System Arbeitnehmer regelmäßig und systematisch kontrolliert oder zu einer systematischen Überwachung führt, zum Beispiel zur Kontrolle der Arbeitszeit.</w:t>
      </w:r>
    </w:p>
    <w:p>
      <w:pPr>
        <w:spacing w:after="120" w:line="276"/>
      </w:pPr>
      <w:r>
        <w:rPr>
          <w:rFonts w:ascii="Calibri" w:cs="Calibri" w:eastAsia="Calibri" w:hAnsi="Calibri"/>
        </w:rPr>
        <w:t xml:space="preserve">Auch nach den Leitlinien der europäischen Aufsichtsbehörden (WP 248) genügen meist zwei Kriterien; hier geht es um systematische Überwachung, Standortdaten, Arbeitnehmer als schutzbedürftige betroffene Personen und, mit den Bußgeldern, Daten über Straftaten.</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erfasst keine Arbeitstage, Fahrten oder Positionen; der Arbeitgeber verwaltet nur Seats (Name, E-Mail-Adresse und die Daten, die er selbst einträgt). Diese Verarbeitung steht nicht auf der Liste der Aufsichtsbehörde und erfüllt nach unserer Bewertung nur das Kriterium „Arbeitnehmer“ der Leitlinien der europäischen Aufsichtsbehörden (WP 248), nicht zwei Kriterien. Eine DSFA ist für Teams daher grundsätzlich nicht verpflichtend; nehmen Sie die Verarbeitung aber in Ihr Verzeichnis von Verarbeitungstätigkeiten auf (Art. 30 DSGVO).</w:t>
      </w:r>
    </w:p>
    <w:p>
      <w:pPr>
        <w:pStyle w:val="Heading1"/>
        <w:keepNext/>
        <w:spacing w:after="120" w:before="280"/>
      </w:pPr>
      <w:r>
        <w:rPr>
          <w:rFonts w:ascii="Calibri" w:cs="Calibri" w:eastAsia="Calibri" w:hAnsi="Calibri"/>
          <w:b/>
          <w:bCs/>
          <w:color w:val="1F1F1F"/>
          <w:sz w:val="26"/>
          <w:szCs w:val="26"/>
        </w:rPr>
        <w:t xml:space="preserve">2. Beschreibung der Verarbeitung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Punkt</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Beschreibung</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Verantwortlicher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 des Unternehmens, Anschrift, Handelsregisternummer]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Auftragsverarbeiter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Belgien, Unternehmensnummer 1031.603.017) (Auftragsverarbeitungsvertrag bei den Geschäftsbedingungen)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Betroffene Personen</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Fahrer: </w:t>
            </w:r>
            <w:r>
              <w:rPr>
                <w:rFonts w:ascii="Calibri" w:cs="Calibri" w:eastAsia="Calibri" w:hAnsi="Calibri"/>
                <w:sz w:val="19"/>
                <w:szCs w:val="19"/>
                <w:highlight w:val="yellow"/>
              </w:rPr>
              <w:t xml:space="preserve">[Anzahl]</w:t>
            </w:r>
            <w:r>
              <w:rPr>
                <w:rFonts w:ascii="Calibri" w:cs="Calibri" w:eastAsia="Calibri" w:hAnsi="Calibri"/>
                <w:sz w:val="19"/>
                <w:szCs w:val="19"/>
              </w:rPr>
              <w:t xml:space="preserve"> Arbeitnehmer und sonstige Mitarbeiter, die das Unternehmen einlädt; Inhaber und Administratoren; Ansprechpartner von Kunden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Zwecke</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[Übernehmen Sie die Zwecke, die Sie in der Richtlinie angekreuzt haben]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Mittel</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Die TrapSpotter-App (iOS, Android) auf dem Telefon des Fahrers </w:t>
            </w:r>
            <w:r>
              <w:rPr>
                <w:rFonts w:ascii="Calibri" w:cs="Calibri" w:eastAsia="Calibri" w:hAnsi="Calibri"/>
                <w:sz w:val="19"/>
                <w:szCs w:val="19"/>
                <w:highlight w:val="yellow"/>
              </w:rPr>
              <w:t xml:space="preserve">[eigenes Telefon / Telefon des Unternehmens]</w:t>
            </w:r>
            <w:r>
              <w:rPr>
                <w:rFonts w:ascii="Calibri" w:cs="Calibri" w:eastAsia="Calibri" w:hAnsi="Calibri"/>
                <w:sz w:val="19"/>
                <w:szCs w:val="19"/>
              </w:rPr>
              <w:t xml:space="preserve">; die Konsole unter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Speicherung</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AWS-Region eu-north-1 (Stockholm, Schweden); eigene Server von TrapSpotter bei Hetzner (Falkenstein, Deutschland). Unterauftragsverarbeiter: Anlage 3 des Auftragsverarbeitungsvertrags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Empfänger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[Namen oder Funktionen]</w:t>
            </w:r>
            <w:r>
              <w:rPr>
                <w:rFonts w:ascii="Calibri" w:cs="Calibri" w:eastAsia="Calibri" w:hAnsi="Calibri"/>
                <w:sz w:val="19"/>
                <w:szCs w:val="19"/>
              </w:rPr>
              <w:t xml:space="preserve"> in der Konsole; TrapSpotter BV und ihre Unterauftragsverarbeiter; </w:t>
            </w:r>
            <w:r>
              <w:rPr>
                <w:rFonts w:ascii="Calibri" w:cs="Calibri" w:eastAsia="Calibri" w:hAnsi="Calibri"/>
                <w:sz w:val="19"/>
                <w:szCs w:val="19"/>
                <w:highlight w:val="yellow"/>
              </w:rPr>
              <w:t xml:space="preserve">[Lohnbüro, Steuerberater]</w:t>
            </w:r>
          </w:p>
        </w:tc>
      </w:tr>
    </w:tbl>
    <w:p>
      <w:pPr>
        <w:spacing w:after="120"/>
      </w:pPr>
    </w:p>
    <w:p>
      <w:pPr>
        <w:spacing w:after="120" w:line="276"/>
      </w:pPr>
      <w:r>
        <w:rPr>
          <w:rFonts w:ascii="Calibri" w:cs="Calibri" w:eastAsia="Calibri" w:hAnsi="Calibri"/>
          <w:b/>
          <w:bCs/>
        </w:rPr>
        <w:t xml:space="preserve">Daten je Funktion: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Funktion</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Daten</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Wann</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Speicherdauer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Mitglieder</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E-Mail-Adresse, Telefon, Funktion, Personalnummer, Notizen, Rolle,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Bei Einladung</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Solange nötig; spätestens Vertragsende</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Arbeitstage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Beginn, Ende, Grund des Endes, Fahrzeug oder eigener Wagen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Vom Start bis zum Ende des Arbeitstags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Fahrten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Zeiten, Start- und Zielort, Route, Distanz, Kunde, Fahrzeug, Notiz. Privatfahrt: nur Zeit und Distanz</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Während des Arbeitstags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Live-Positionen (optional)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Fahrtrichtung, Geschwindigkeit laut Telefon (Geschwindigkeit nicht angezeigt), Zeit</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Während des Arbeitstags, wenn die Funktion eingeschaltet ist; max. 1 pro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Minuten; sofort beim Ausschalten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Kunden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Anschrift, Ansprechpartner, Telefon, Notiz</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Von Administratoren eingegeben</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Fahrzeuge und Dokumente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Kennzeichen, Marke, Modell, Kilometerstand, zugewiesener Fahrer; Dokument, Referenz, Ablaufdatum</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Von Administratoren eingegeben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Bis zur Löschung</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Belege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Datum, Art, Händler, Betrag, MwSt., Liter, Foto, Entscheidung</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Vom Fahrer eingereicht</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[ausfüllen]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Bußgelder (Art. 10 DSGVO)</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Kennzeichen, Datum, Uhrzeit und Ort des Verstoßes, Aktenzeichen, Frist, Status, gefundene Fahrt und gefundener Fahrer, Antwort des Fahrers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Wenn das Unternehmen ein Bußgeld erhält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Spätestens 24 Monate nach dem Verstoß</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Kilometerabrechnung</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Aus Arbeitstagen und Fahrten berechnet</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Auf Anfrage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Nicht gesondert gespeichert</w:t>
            </w:r>
          </w:p>
        </w:tc>
      </w:tr>
    </w:tbl>
    <w:p>
      <w:pPr>
        <w:spacing w:after="120"/>
      </w:pPr>
    </w:p>
    <w:p>
      <w:pPr>
        <w:pStyle w:val="Heading1"/>
        <w:keepNext/>
        <w:spacing w:after="120" w:before="280"/>
      </w:pPr>
      <w:r>
        <w:rPr>
          <w:rFonts w:ascii="Calibri" w:cs="Calibri" w:eastAsia="Calibri" w:hAnsi="Calibri"/>
          <w:b/>
          <w:bCs/>
          <w:color w:val="1F1F1F"/>
          <w:sz w:val="26"/>
          <w:szCs w:val="26"/>
        </w:rPr>
        <w:t xml:space="preserve">3. Rechtsgrundlage, Notwendigkeit und Verhältnismäßigkeit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Zweck</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Rechtsgrundlage (ausfüllen)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Warum nötig, und warum nicht weniger eingreifend</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Arbeitszeit und Dienstfahrten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f DSGVO (berechtigtes Interesse); oder lit. c, wenn Ihr Recht eine Erfassung der Arbeitszeit vorschreibt]</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[Zum Beispiel: Nachweis von Leistungen bei Kunden; Fahrtenlisten auf Papier sind unvollständig und kosten Zeit]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Kilometergeld</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b oder f DSGVO]</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[Die Erstattung hängt von den tatsächlich gefahrenen dienstlichen Kilometern ab]</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Fuhrparkverwaltung und Dokumente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f DSGVO]</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[Wissen, wer mit welchem Fahrzeug fährt; Ablaufdaten nicht verpassen]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Auslagen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b DSGVO]</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[Der Fahrer beantragt die Erstattung selbst]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Verkehrsbußgelder</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 6 Abs. 1 lit. c DSGVO (Art. 8bis der loi modifiée du 25 juillet 2015, geändertes Gesetz vom 25. Juli 2015). Für Art. 10 DSGVO: dieselbe gesetzliche Pflicht; eine ausdrückliche luxemburgische Regelung für private Arbeitgeber haben wir nicht gefunden (bestätigen lassen)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[Den Fahrzeugführer korrekt und fristgerecht benennen]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Live-Positionen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 6 Abs. 1 lit. f DSGVO, nur wenn Sie die Funktion einschalten]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[Zum Beispiel: dringende Planung, Hilfe bei einer Panne. Ohne diesen Bedarf: Lassen Sie die Funktion ausgeschaltet]</w:t>
            </w:r>
          </w:p>
        </w:tc>
      </w:tr>
    </w:tbl>
    <w:p>
      <w:pPr>
        <w:spacing w:after="120"/>
      </w:pPr>
    </w:p>
    <w:p>
      <w:pPr>
        <w:spacing w:after="120" w:line="276"/>
      </w:pPr>
      <w:r>
        <w:rPr>
          <w:rFonts w:ascii="Calibri" w:cs="Calibri" w:eastAsia="Calibri" w:hAnsi="Calibri"/>
          <w:b/>
          <w:bCs/>
        </w:rPr>
        <w:t xml:space="preserve">Eingebaute Maßnahmen zur Begrenzung der Verarbeitung:</w:t>
      </w:r>
    </w:p>
    <w:p>
      <w:pPr>
        <w:pStyle w:val="ListParagraph"/>
        <w:numPr>
          <w:ilvl w:val="0"/>
          <w:numId w:val="2"/>
        </w:numPr>
        <w:spacing w:after="60" w:line="276"/>
      </w:pPr>
      <w:r>
        <w:rPr>
          <w:rFonts w:ascii="Calibri" w:cs="Calibri" w:eastAsia="Calibri" w:hAnsi="Calibri"/>
        </w:rPr>
        <w:t xml:space="preserve">Erfassung nur zwischen „Arbeitstag starten“ und „Arbeitstag beenden“, mit einem automatischen Ende nach der gewählten Stundenzahl (4 bis 14).</w:t>
      </w:r>
    </w:p>
    <w:p>
      <w:pPr>
        <w:pStyle w:val="ListParagraph"/>
        <w:numPr>
          <w:ilvl w:val="0"/>
          <w:numId w:val="2"/>
        </w:numPr>
        <w:spacing w:after="60" w:line="276"/>
      </w:pPr>
      <w:r>
        <w:rPr>
          <w:rFonts w:ascii="Calibri" w:cs="Calibri" w:eastAsia="Calibri" w:hAnsi="Calibri"/>
        </w:rPr>
        <w:t xml:space="preserve">Privatfahrten: Orte, Route und Kunde werden auf dem Server endgültig gelöscht; die Datenbank akzeptiert keine Privatfahrt mit solchen Daten.</w:t>
      </w:r>
    </w:p>
    <w:p>
      <w:pPr>
        <w:pStyle w:val="ListParagraph"/>
        <w:numPr>
          <w:ilvl w:val="0"/>
          <w:numId w:val="2"/>
        </w:numPr>
        <w:spacing w:after="60" w:line="276"/>
      </w:pPr>
      <w:r>
        <w:rPr>
          <w:rFonts w:ascii="Calibri" w:cs="Calibri" w:eastAsia="Calibri" w:hAnsi="Calibri"/>
        </w:rPr>
        <w:t xml:space="preserve">Live-Positionen sind standardmäßig ausgeschaltet; eingeschaltet: höchstens eine pro Minute, nur während eines Arbeitstags, nach 30 Minuten gelöscht und sofort gelöscht, wenn die Funktion ausgeschaltet wird. Der Fahrer sieht in der App, ob sie eingeschaltet sind.</w:t>
      </w:r>
    </w:p>
    <w:p>
      <w:pPr>
        <w:pStyle w:val="ListParagraph"/>
        <w:numPr>
          <w:ilvl w:val="0"/>
          <w:numId w:val="2"/>
        </w:numPr>
        <w:spacing w:after="60" w:line="276"/>
      </w:pPr>
      <w:r>
        <w:rPr>
          <w:rFonts w:ascii="Calibri" w:cs="Calibri" w:eastAsia="Calibri" w:hAnsi="Calibri"/>
        </w:rPr>
        <w:t xml:space="preserve">Die Konsole zeigt keine Geschwindigkeit an.</w:t>
      </w:r>
    </w:p>
    <w:p>
      <w:pPr>
        <w:pStyle w:val="ListParagraph"/>
        <w:numPr>
          <w:ilvl w:val="0"/>
          <w:numId w:val="2"/>
        </w:numPr>
        <w:spacing w:after="60" w:line="276"/>
      </w:pPr>
      <w:r>
        <w:rPr>
          <w:rFonts w:ascii="Calibri" w:cs="Calibri" w:eastAsia="Calibri" w:hAnsi="Calibri"/>
        </w:rPr>
        <w:t xml:space="preserve">Rollen: Ein Fahrer sieht nur seine eigenen Daten; Bußgelder nur für den Inhaber und die Administratoren; jede Aktion in der Konsole wird protokolliert.</w:t>
      </w:r>
    </w:p>
    <w:p>
      <w:pPr>
        <w:pStyle w:val="ListParagraph"/>
        <w:numPr>
          <w:ilvl w:val="0"/>
          <w:numId w:val="2"/>
        </w:numPr>
        <w:spacing w:after="60" w:line="276"/>
      </w:pPr>
      <w:r>
        <w:rPr>
          <w:rFonts w:ascii="Calibri" w:cs="Calibri" w:eastAsia="Calibri" w:hAnsi="Calibri"/>
        </w:rPr>
        <w:t xml:space="preserve">Bußgelddaten werden spätestens 24 Monate nach dem Verstoß automatisch gelöscht; der Arbeitgeber kann sie früher löschen.</w:t>
      </w:r>
    </w:p>
    <w:p>
      <w:pPr>
        <w:pStyle w:val="ListParagraph"/>
        <w:numPr>
          <w:ilvl w:val="0"/>
          <w:numId w:val="2"/>
        </w:numPr>
        <w:spacing w:after="60" w:line="276"/>
      </w:pPr>
      <w:r>
        <w:rPr>
          <w:rFonts w:ascii="Calibri" w:cs="Calibri" w:eastAsia="Calibri" w:hAnsi="Calibri"/>
        </w:rPr>
        <w:t xml:space="preserve">Hosting in der EU; Verschlüsselung bei der Übertragung und bei der Speicherung; kein direkter Zugriff auf die Tabellen; Einladungen mit einem Einmalschlüssel.</w:t>
      </w:r>
    </w:p>
    <w:p>
      <w:pPr>
        <w:pStyle w:val="ListParagraph"/>
        <w:numPr>
          <w:ilvl w:val="0"/>
          <w:numId w:val="2"/>
        </w:numPr>
        <w:spacing w:after="60" w:line="276"/>
      </w:pPr>
      <w:r>
        <w:rPr>
          <w:rFonts w:ascii="Calibri" w:cs="Calibri" w:eastAsia="Calibri" w:hAnsi="Calibri"/>
        </w:rPr>
        <w:t xml:space="preserve">Die Mitarbeiter von TrapSpotter sehen in ihrer Verwaltungskonsole keine Fahrten, Routen, Adressen oder Positionen und können die Konsole eines Kunden nicht öffnen.</w:t>
      </w:r>
    </w:p>
    <w:p>
      <w:pPr>
        <w:spacing w:after="60"/>
      </w:pPr>
    </w:p>
    <w:p>
      <w:pPr>
        <w:pStyle w:val="Heading1"/>
        <w:keepNext/>
        <w:spacing w:after="120" w:before="280"/>
      </w:pPr>
      <w:r>
        <w:rPr>
          <w:rFonts w:ascii="Calibri" w:cs="Calibri" w:eastAsia="Calibri" w:hAnsi="Calibri"/>
          <w:b/>
          <w:bCs/>
          <w:color w:val="1F1F1F"/>
          <w:sz w:val="26"/>
          <w:szCs w:val="26"/>
        </w:rPr>
        <w:t xml:space="preserve">4. Rechte der betroffenen Personen</w:t>
      </w:r>
    </w:p>
    <w:p>
      <w:pPr>
        <w:pStyle w:val="ListParagraph"/>
        <w:numPr>
          <w:ilvl w:val="0"/>
          <w:numId w:val="2"/>
        </w:numPr>
        <w:spacing w:after="60" w:line="276"/>
      </w:pPr>
      <w:r>
        <w:rPr>
          <w:rFonts w:ascii="Calibri" w:cs="Calibri" w:eastAsia="Calibri" w:hAnsi="Calibri"/>
        </w:rPr>
        <w:t xml:space="preserve">Information: der Informationsbrief für Fahrer und die Richtlinie, vor dem ersten Arbeitstag.</w:t>
      </w:r>
    </w:p>
    <w:p>
      <w:pPr>
        <w:pStyle w:val="ListParagraph"/>
        <w:numPr>
          <w:ilvl w:val="0"/>
          <w:numId w:val="2"/>
        </w:numPr>
        <w:spacing w:after="60" w:line="276"/>
      </w:pPr>
      <w:r>
        <w:rPr>
          <w:rFonts w:ascii="Calibri" w:cs="Calibri" w:eastAsia="Calibri" w:hAnsi="Calibri"/>
        </w:rPr>
        <w:t xml:space="preserve">Auskunft und Kopie: Der Fahrer sieht seine Arbeitstage, Fahrten und Belege in der App; der Arbeitgeber kann in der Konsole einen Export erstellen.</w:t>
      </w:r>
    </w:p>
    <w:p>
      <w:pPr>
        <w:pStyle w:val="ListParagraph"/>
        <w:numPr>
          <w:ilvl w:val="0"/>
          <w:numId w:val="2"/>
        </w:numPr>
        <w:spacing w:after="60" w:line="276"/>
      </w:pPr>
      <w:r>
        <w:rPr>
          <w:rFonts w:ascii="Calibri" w:cs="Calibri" w:eastAsia="Calibri" w:hAnsi="Calibri"/>
        </w:rPr>
        <w:t xml:space="preserve">Berichtigung: Der Fahrer kann eine Fahrt als privat kennzeichnen; der Arbeitgeber kann das Fahrzeug, den Kunden und Notizen berichtigen.</w:t>
      </w:r>
    </w:p>
    <w:p>
      <w:pPr>
        <w:pStyle w:val="ListParagraph"/>
        <w:numPr>
          <w:ilvl w:val="0"/>
          <w:numId w:val="2"/>
        </w:numPr>
        <w:spacing w:after="60" w:line="276"/>
      </w:pPr>
      <w:r>
        <w:rPr>
          <w:rFonts w:ascii="Calibri" w:cs="Calibri" w:eastAsia="Calibri" w:hAnsi="Calibri"/>
        </w:rPr>
        <w:t xml:space="preserve">Löschung und Einschränkung: auf Antrag beim Arbeitgeber, der sie von TrapSpotter ausführen lässt, wo die Konsole es nicht kann (innerhalb von zehn Arbeitstagen).</w:t>
      </w:r>
    </w:p>
    <w:p>
      <w:pPr>
        <w:pStyle w:val="ListParagraph"/>
        <w:numPr>
          <w:ilvl w:val="0"/>
          <w:numId w:val="2"/>
        </w:numPr>
        <w:spacing w:after="60" w:line="276"/>
      </w:pPr>
      <w:r>
        <w:rPr>
          <w:rFonts w:ascii="Calibri" w:cs="Calibri" w:eastAsia="Calibri" w:hAnsi="Calibri"/>
        </w:rPr>
        <w:t xml:space="preserve">Widerspruch: gegen Verarbeitungen auf Grundlage eines berechtigten Interesses, vom Arbeitgeber zu prüfen.</w:t>
      </w:r>
    </w:p>
    <w:p>
      <w:pPr>
        <w:pStyle w:val="ListParagraph"/>
        <w:numPr>
          <w:ilvl w:val="0"/>
          <w:numId w:val="2"/>
        </w:numPr>
        <w:spacing w:after="60" w:line="276"/>
      </w:pPr>
      <w:r>
        <w:rPr>
          <w:rFonts w:ascii="Calibri" w:cs="Calibri" w:eastAsia="Calibri" w:hAnsi="Calibri"/>
        </w:rPr>
        <w:t xml:space="preserve">Anlaufstelle: </w:t>
      </w:r>
      <w:r>
        <w:rPr>
          <w:rFonts w:ascii="Calibri" w:cs="Calibri" w:eastAsia="Calibri" w:hAnsi="Calibri"/>
          <w:highlight w:val="yellow"/>
        </w:rPr>
        <w:t xml:space="preserve">[Name, E-Mail-Adresse]</w:t>
      </w:r>
      <w:r>
        <w:rPr>
          <w:rFonts w:ascii="Calibri" w:cs="Calibri" w:eastAsia="Calibri" w:hAnsi="Calibri"/>
        </w:rPr>
        <w:t xml:space="preserve">. Beschwerde: die Commission nationale pour la protection des données (CNPD, Nationale Kommission für den Datenschutz) (cnpd.public.lu).</w:t>
      </w:r>
    </w:p>
    <w:p>
      <w:pPr>
        <w:spacing w:after="60"/>
      </w:pPr>
    </w:p>
    <w:p>
      <w:pPr>
        <w:pStyle w:val="Heading1"/>
        <w:keepNext/>
        <w:spacing w:after="120" w:before="280"/>
      </w:pPr>
      <w:r>
        <w:rPr>
          <w:rFonts w:ascii="Calibri" w:cs="Calibri" w:eastAsia="Calibri" w:hAnsi="Calibri"/>
          <w:b/>
          <w:bCs/>
          <w:color w:val="1F1F1F"/>
          <w:sz w:val="26"/>
          <w:szCs w:val="26"/>
        </w:rPr>
        <w:t xml:space="preserve">5. Risiken und Maßnahmen</w:t>
      </w:r>
    </w:p>
    <w:p>
      <w:pPr>
        <w:spacing w:after="120" w:line="276"/>
      </w:pPr>
      <w:r>
        <w:rPr>
          <w:rFonts w:ascii="Calibri" w:cs="Calibri" w:eastAsia="Calibri" w:hAnsi="Calibri"/>
        </w:rPr>
        <w:t xml:space="preserve">Skala: Eintrittswahrscheinlichkeit und Schwere niedrig, mittel oder hoch. Die Bewertung vor Maßnahmen geht von einem Ortungssystem ohne die eingebauten Maßnahmen aus. Passen Sie die Bewertung an Ihre Situation an.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Risiko für die Fahrer</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Vor Maßnahmen</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Maßnahmen</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Restrisiko</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Ortung außerhalb der Arbeitszeit oder während Privatfahrten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Nur während eines Arbeitstags; automatisches Ende; Privatfahrten bereinigt; Richtlinie und Informationsbrief</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Ständige Überwachung und Druck durch Live-Positionen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Standardmäßig ausgeschaltet; nur bei echtem Bedarf eingeschaltet; eine Position pro Minute; 30 Minuten gespeichert; für den Fahrer sichtbar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Nutzung für andere Zwecke (Leistung, Sanktionen, Geschwindigkeit)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Zweckbindung in der Richtlinie; Geschwindigkeit nicht angezeigt; rollenbasierter Zugriff; Protokoll</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Zu weitgehender Zugriff innerhalb des Unternehmens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Nur die nötigen Administratoren; Bußgelder nur für Inhaber und Administratoren; Protokoll</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Unrichtige Daten (GPS, falsches Fahrzeug) und dadurch eine falsche Benennung bei einem Bußgeld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Fahrzeugwahl beim Start; Korrektur durch einen Administrator; Bestätigung durch den Fahrer; Kontrolle vor der Benennung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Sensible Rückschlüsse aus Orten (zum Beispiel ein Arztbesuch während des Arbeitstags)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Privatfahrten; kurze Speicherdauer; keine Analyse von Orten</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Bußgelddaten (Art. 10 DSGVO) bei Unbefugten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Beschränkter Zugriff; Vertraulichkeit; kurze Speicherdauer (spätestens 24 Monate)</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Datenschutzverletzung bei TrapSpotter oder einem Unterauftragsverarbeiter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hoch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Maßnahmen aus Anlage 2 des Auftragsverarbeitungsvertrags; Hosting in der EU; Meldung binnen 48 Stunden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Übermittlung außerhalb des EWR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Niedrig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Speicherung in der EU; Standardvertragsklauseln oder der EU-US-Datenschutzrahmen bei Unterauftragsverarbeitern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Zu lange Speicherung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Speicherfristen in der Richtlinie; Löschung auf Anfrage; Löschung nach Vertragsende</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[Hängt von Ihrer Umsetzung ab]</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Fahrer kennen ihre Rechte nicht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Mittel / mittel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Informationsbrief, Richtlinie, Anlaufstelle</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Niedrig</w:t>
            </w:r>
          </w:p>
        </w:tc>
      </w:tr>
    </w:tbl>
    <w:p>
      <w:pPr>
        <w:spacing w:after="120"/>
      </w:pPr>
    </w:p>
    <w:p>
      <w:pPr>
        <w:pStyle w:val="Heading1"/>
        <w:keepNext/>
        <w:spacing w:after="120" w:before="280"/>
      </w:pPr>
      <w:r>
        <w:rPr>
          <w:rFonts w:ascii="Calibri" w:cs="Calibri" w:eastAsia="Calibri" w:hAnsi="Calibri"/>
          <w:b/>
          <w:bCs/>
          <w:color w:val="1F1F1F"/>
          <w:sz w:val="26"/>
          <w:szCs w:val="26"/>
        </w:rPr>
        <w:t xml:space="preserve">6. Konsultation</w:t>
      </w:r>
    </w:p>
    <w:p>
      <w:pPr>
        <w:spacing w:after="120" w:line="276"/>
      </w:pPr>
      <w:r>
        <w:rPr>
          <w:rFonts w:ascii="Calibri" w:cs="Calibri" w:eastAsia="Calibri" w:hAnsi="Calibri"/>
        </w:rPr>
        <w:t xml:space="preserve">Informieren Sie vor dem Start den comité mixte (gemischter Betriebsausschuss) oder die Personaldelegation (délégation du personnel) – oder die Gewerbeinspektion ITM – gemäß Art. L.261-1 Abs. 2 des Code du travail (Arbeitsgesetzbuch) und fügen Sie deren Bemerkungen und eine etwaige Stellungnahme der CNPD bei. Holen Sie gegebenenfalls den Standpunkt der Fahrer ein (Art. 35 Abs. 9 DSGVO).</w:t>
      </w:r>
    </w:p>
    <w:p>
      <w:pPr>
        <w:spacing w:after="140"/>
      </w:pPr>
      <w:r>
        <w:rPr>
          <w:rFonts w:ascii="Calibri" w:cs="Calibri" w:eastAsia="Calibri" w:hAnsi="Calibri"/>
        </w:rPr>
        <w:t xml:space="preserve">Rat des Datenschutzbeauftragten (Datum, Zusammenfassung): </w:t>
      </w:r>
      <w:r>
        <w:rPr>
          <w:rFonts w:ascii="Calibri" w:cs="Calibri" w:eastAsia="Calibri" w:hAnsi="Calibri"/>
          <w:color w:val="7F7F7F"/>
        </w:rPr>
        <w:t xml:space="preserve">__________</w:t>
      </w:r>
    </w:p>
    <w:p>
      <w:pPr>
        <w:spacing w:after="140"/>
      </w:pPr>
      <w:r>
        <w:rPr>
          <w:rFonts w:ascii="Calibri" w:cs="Calibri" w:eastAsia="Calibri" w:hAnsi="Calibri"/>
        </w:rPr>
        <w:t xml:space="preserve">Standpunkt der Fahrer oder ihrer Vertreter (Datum, Zusammenfassung):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Ergebnis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Die Restrisiken sind mit den obigen Maßnahmen akzeptabel. Die Verarbeitung kann am </w:t>
      </w:r>
      <w:r>
        <w:rPr>
          <w:rFonts w:ascii="Calibri" w:cs="Calibri" w:eastAsia="Calibri" w:hAnsi="Calibri"/>
          <w:highlight w:val="yellow"/>
        </w:rPr>
        <w:t xml:space="preserve">[Datum]</w:t>
      </w:r>
      <w:r>
        <w:rPr>
          <w:rFonts w:ascii="Calibri" w:cs="Calibri" w:eastAsia="Calibri" w:hAnsi="Calibri"/>
        </w:rPr>
        <w:t xml:space="preserve"> beginnen.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Es bleibt ein hohes Restrisiko. Der Arbeitgeber konsultiert vor dem Start die Commission nationale pour la protection des données (CNPD, Nationale Kommission für den Datenschutz) (Art. 36 DSGVO).</w:t>
      </w:r>
    </w:p>
    <w:p>
      <w:pPr>
        <w:spacing w:after="60"/>
      </w:pPr>
    </w:p>
    <w:p>
      <w:pPr>
        <w:spacing w:after="140"/>
      </w:pPr>
      <w:r>
        <w:rPr>
          <w:rFonts w:ascii="Calibri" w:cs="Calibri" w:eastAsia="Calibri" w:hAnsi="Calibri"/>
        </w:rPr>
        <w:t xml:space="preserve">Nächste Überprüfung: </w:t>
      </w:r>
      <w:r>
        <w:rPr>
          <w:rFonts w:ascii="Calibri" w:cs="Calibri" w:eastAsia="Calibri" w:hAnsi="Calibri"/>
          <w:color w:val="7F7F7F"/>
        </w:rPr>
        <w:t xml:space="preserve">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Für den Verantwortlichen</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Funktion: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Unterschrift: ________________________</w:t>
            </w:r>
          </w:p>
        </w:tc>
      </w:tr>
    </w:tbl>
    <w:p>
      <w:pPr>
        <w:pStyle w:val="Heading1"/>
        <w:keepNext/>
        <w:spacing w:after="120" w:before="280"/>
      </w:pPr>
      <w:r>
        <w:rPr>
          <w:rFonts w:ascii="Calibri" w:cs="Calibri" w:eastAsia="Calibri" w:hAnsi="Calibri"/>
          <w:b/>
          <w:bCs/>
          <w:color w:val="1F1F1F"/>
          <w:sz w:val="26"/>
          <w:szCs w:val="26"/>
        </w:rPr>
        <w:t xml:space="preserve">Anlage: Rechtliche Verweise für Luxemburg</w:t>
      </w:r>
    </w:p>
    <w:p>
      <w:pPr>
        <w:pStyle w:val="ListParagraph"/>
        <w:numPr>
          <w:ilvl w:val="0"/>
          <w:numId w:val="2"/>
        </w:numPr>
        <w:spacing w:after="60" w:line="276"/>
      </w:pPr>
      <w:r>
        <w:rPr>
          <w:rFonts w:ascii="Calibri" w:cs="Calibri" w:eastAsia="Calibri" w:hAnsi="Calibri"/>
        </w:rPr>
        <w:t xml:space="preserve">Code du travail, Art. L.261-1, L.261-2 und L.414-9: data.legilux.public.lu (konsolidierte Fassung vom 26. Juli 2026).</w:t>
      </w:r>
    </w:p>
    <w:p>
      <w:pPr>
        <w:pStyle w:val="ListParagraph"/>
        <w:numPr>
          <w:ilvl w:val="0"/>
          <w:numId w:val="2"/>
        </w:numPr>
        <w:spacing w:after="60" w:line="276"/>
      </w:pPr>
      <w:r>
        <w:rPr>
          <w:rFonts w:ascii="Calibri" w:cs="Calibri" w:eastAsia="Calibri" w:hAnsi="Calibri"/>
        </w:rPr>
        <w:t xml:space="preserve">CNPD, Lignes directrices en matière de géolocalisation des véhicules (Fassung vom 22. Februar 2023): cnpd.public.lu/fr/dossiers-thematiques/surveillance/geolocalisation-vehicules.html.</w:t>
      </w:r>
    </w:p>
    <w:p>
      <w:pPr>
        <w:pStyle w:val="ListParagraph"/>
        <w:numPr>
          <w:ilvl w:val="0"/>
          <w:numId w:val="2"/>
        </w:numPr>
        <w:spacing w:after="60" w:line="276"/>
      </w:pPr>
      <w:r>
        <w:rPr>
          <w:rFonts w:ascii="Calibri" w:cs="Calibri" w:eastAsia="Calibri" w:hAnsi="Calibri"/>
        </w:rPr>
        <w:t xml:space="preserve">CNPD, Beschluss Nr. 34/2019 vom 6. März 2019, Liste der Verarbeitungsvorgänge, für die eine DSFA erforderlich ist: cnpd.public.lu/fr/professionnels/obligations/obligations-rgpd/AIPD.html.</w:t>
      </w:r>
    </w:p>
    <w:p>
      <w:pPr>
        <w:pStyle w:val="ListParagraph"/>
        <w:numPr>
          <w:ilvl w:val="0"/>
          <w:numId w:val="2"/>
        </w:numPr>
        <w:spacing w:after="60" w:line="276"/>
      </w:pPr>
      <w:r>
        <w:rPr>
          <w:rFonts w:ascii="Calibri" w:cs="Calibri" w:eastAsia="Calibri" w:hAnsi="Calibri"/>
        </w:rPr>
        <w:t xml:space="preserve">Loi modifiée du 25 juillet 2015 (contrôle et sanction automatisés), Art. 4, 8, 8bis, 9 und 12: data.legilux.public.lu.</w:t>
      </w:r>
    </w:p>
    <w:p>
      <w:pPr>
        <w:pStyle w:val="ListParagraph"/>
        <w:numPr>
          <w:ilvl w:val="0"/>
          <w:numId w:val="2"/>
        </w:numPr>
        <w:spacing w:after="60" w:line="276"/>
      </w:pPr>
      <w:r>
        <w:rPr>
          <w:rFonts w:ascii="Calibri" w:cs="Calibri" w:eastAsia="Calibri" w:hAnsi="Calibri"/>
        </w:rPr>
        <w:t xml:space="preserve">Gesetz vom 14. Februar 1955, Art. 8bis (Radarwarngeräte), und arrêté grand-ducal du 23 novembre 1955 (großherzoglicher Beschluss vom 23. November 1955), Art. 170bis (Telefon während der Fahrt).</w:t>
      </w:r>
    </w:p>
    <w:p>
      <w:pPr>
        <w:pStyle w:val="ListParagraph"/>
        <w:numPr>
          <w:ilvl w:val="0"/>
          <w:numId w:val="2"/>
        </w:numPr>
        <w:spacing w:after="60" w:line="276"/>
      </w:pPr>
      <w:r>
        <w:rPr>
          <w:rFonts w:ascii="Calibri" w:cs="Calibri" w:eastAsia="Calibri" w:hAnsi="Calibri"/>
        </w:rPr>
        <w:t xml:space="preserve">Kilometergeld: Art. 115 Nr. 3 L.I.R.; großherzogliche Verordnung vom 3. Dezember 1969, Art. 3; Verordnung der Regierung im Rat vom 19. Juni 2015 (0,30 € je Kilometer); Rundschreiben L.I.R. Nr. 115/6 vom 13. Juli 2018.</w:t>
      </w:r>
    </w:p>
    <w:p>
      <w:pPr>
        <w:pStyle w:val="ListParagraph"/>
        <w:numPr>
          <w:ilvl w:val="0"/>
          <w:numId w:val="2"/>
        </w:numPr>
        <w:spacing w:after="60" w:line="276"/>
      </w:pPr>
      <w:r>
        <w:rPr>
          <w:rFonts w:ascii="Calibri" w:cs="Calibri" w:eastAsia="Calibri" w:hAnsi="Calibri"/>
        </w:rPr>
        <w:t xml:space="preserve">Antwort auf die parlamentarische Anfrage Nr. 3629 (11. März 2026): Apps, die vor Blitzern warnen, sind nicht verboten.</w:t>
      </w:r>
    </w:p>
    <w:p>
      <w:pPr>
        <w:pStyle w:val="ListParagraph"/>
        <w:numPr>
          <w:ilvl w:val="0"/>
          <w:numId w:val="2"/>
        </w:numPr>
        <w:spacing w:after="60" w:line="276"/>
      </w:pPr>
      <w:r>
        <w:rPr>
          <w:rFonts w:ascii="Calibri" w:cs="Calibri" w:eastAsia="Calibri" w:hAnsi="Calibri"/>
        </w:rPr>
        <w:t xml:space="preserve">Verordnung (EU) 2016/679 (DSGVO), Art. 6, 10, 13, 30 und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Datenschutz-Folgenabschätzung (DSFA): TrapSpotter Fleet · Muster von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Datenschutz-Folgenabschätzung (DSFA): TrapSpotter Fleet</dc:title>
  <dc:creator>TrapSpotter BV</dc:creator>
  <dc:description>Muster von TrapSpotter BV für Kunden von TrapSpotter Fleet (Luxemburg)</dc:description>
  <cp:lastModifiedBy>Un-named</cp:lastModifiedBy>
  <cp:revision>1</cp:revision>
  <dcterms:created xsi:type="dcterms:W3CDTF">2026-10-08T23:12:48.992Z</dcterms:created>
  <dcterms:modified xsi:type="dcterms:W3CDTF">2026-10-08T23:12:48.992Z</dcterms:modified>
</cp:coreProperties>
</file>

<file path=docProps/custom.xml><?xml version="1.0" encoding="utf-8"?>
<Properties xmlns="http://schemas.openxmlformats.org/officeDocument/2006/custom-properties" xmlns:vt="http://schemas.openxmlformats.org/officeDocument/2006/docPropsVTypes"/>
</file>