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Analyse d'impact relative à la protection des données (AIPD) :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Modèle de TrapSpotter BV, prérempli pour la formule Fleet · article 35 du RGPD · France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Pour l'employeur</w:t>
            </w:r>
          </w:p>
          <w:p>
            <w:pPr>
              <w:pStyle w:val="ListParagraph"/>
              <w:numPr>
                <w:ilvl w:val="0"/>
                <w:numId w:val="2"/>
              </w:numPr>
              <w:spacing w:after="60"/>
            </w:pPr>
            <w:r>
              <w:rPr>
                <w:rFonts w:ascii="Calibri" w:cs="Calibri" w:eastAsia="Calibri" w:hAnsi="Calibri"/>
              </w:rPr>
              <w:t xml:space="preserve">TrapSpotter BV a rempli ce qui concerne le fonctionnement du service. Vous complétez ce qui dépend de votre entreprise (champs en jaune), évaluez les risques au regard de votre situation, demandez l'avis de votre délégué à la protection des données (DPO) si vous en avez un, et signez.</w:t>
            </w:r>
          </w:p>
          <w:p>
            <w:pPr>
              <w:pStyle w:val="ListParagraph"/>
              <w:numPr>
                <w:ilvl w:val="0"/>
                <w:numId w:val="2"/>
              </w:numPr>
              <w:spacing w:after="60"/>
            </w:pPr>
            <w:r>
              <w:rPr>
                <w:rFonts w:ascii="Calibri" w:cs="Calibri" w:eastAsia="Calibri" w:hAnsi="Calibri"/>
              </w:rPr>
              <w:t xml:space="preserve">Réalisez l'AIPD avant la première journée de travail et conservez-la : la Commission nationale de l'informatique et des libertés (CNIL) peut la demander.</w:t>
            </w:r>
          </w:p>
          <w:p>
            <w:pPr>
              <w:pStyle w:val="ListParagraph"/>
              <w:numPr>
                <w:ilvl w:val="0"/>
                <w:numId w:val="2"/>
              </w:numPr>
              <w:spacing w:after="60"/>
            </w:pPr>
            <w:r>
              <w:rPr>
                <w:rFonts w:ascii="Calibri" w:cs="Calibri" w:eastAsia="Calibri" w:hAnsi="Calibri"/>
              </w:rPr>
              <w:t xml:space="preserve">Révisez l'AIPD lorsque votre utilisation ou le service évolue, et au moins </w:t>
            </w:r>
            <w:r>
              <w:rPr>
                <w:rFonts w:ascii="Calibri" w:cs="Calibri" w:eastAsia="Calibri" w:hAnsi="Calibri"/>
                <w:highlight w:val="yellow"/>
              </w:rPr>
              <w:t xml:space="preserve">[une fois par an]</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Responsable du traitement (entreprise, adresse) : </w:t>
      </w:r>
      <w:r>
        <w:rPr>
          <w:rFonts w:ascii="Calibri" w:cs="Calibri" w:eastAsia="Calibri" w:hAnsi="Calibri"/>
          <w:color w:val="7F7F7F"/>
        </w:rPr>
        <w:t xml:space="preserve">_____________</w:t>
      </w:r>
    </w:p>
    <w:p>
      <w:pPr>
        <w:spacing w:after="140"/>
      </w:pPr>
      <w:r>
        <w:rPr>
          <w:rFonts w:ascii="Calibri" w:cs="Calibri" w:eastAsia="Calibri" w:hAnsi="Calibri"/>
        </w:rPr>
        <w:t xml:space="preserve">Personne de contact : </w:t>
      </w:r>
      <w:r>
        <w:rPr>
          <w:rFonts w:ascii="Calibri" w:cs="Calibri" w:eastAsia="Calibri" w:hAnsi="Calibri"/>
          <w:color w:val="7F7F7F"/>
        </w:rPr>
        <w:t xml:space="preserve">_________________________________________</w:t>
      </w:r>
    </w:p>
    <w:p>
      <w:pPr>
        <w:spacing w:after="140"/>
      </w:pPr>
      <w:r>
        <w:rPr>
          <w:rFonts w:ascii="Calibri" w:cs="Calibri" w:eastAsia="Calibri" w:hAnsi="Calibri"/>
        </w:rPr>
        <w:t xml:space="preserve">Délégué à la protection des données (s'il a été désigné) : </w:t>
      </w:r>
      <w:r>
        <w:rPr>
          <w:rFonts w:ascii="Calibri" w:cs="Calibri" w:eastAsia="Calibri" w:hAnsi="Calibri"/>
          <w:color w:val="7F7F7F"/>
        </w:rPr>
        <w:t xml:space="preserve">__________</w:t>
      </w:r>
    </w:p>
    <w:p>
      <w:pPr>
        <w:spacing w:after="140"/>
      </w:pPr>
      <w:r>
        <w:rPr>
          <w:rFonts w:ascii="Calibri" w:cs="Calibri" w:eastAsia="Calibri" w:hAnsi="Calibri"/>
        </w:rPr>
        <w:t xml:space="preserve">Date de la présente AIPD : </w:t>
      </w:r>
      <w:r>
        <w:rPr>
          <w:rFonts w:ascii="Calibri" w:cs="Calibri" w:eastAsia="Calibri" w:hAnsi="Calibri"/>
          <w:color w:val="7F7F7F"/>
        </w:rPr>
        <w:t xml:space="preserve">____________________________________</w:t>
      </w:r>
    </w:p>
    <w:p>
      <w:pPr>
        <w:spacing w:after="140"/>
      </w:pPr>
      <w:r>
        <w:rPr>
          <w:rFonts w:ascii="Calibri" w:cs="Calibri" w:eastAsia="Calibri" w:hAnsi="Calibri"/>
        </w:rPr>
        <w:t xml:space="preserve">Version :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Une AIPD est-elle obligatoire ?</w:t>
      </w:r>
    </w:p>
    <w:p>
      <w:pPr>
        <w:spacing w:after="120" w:line="276"/>
      </w:pPr>
      <w:r>
        <w:rPr>
          <w:rFonts w:ascii="Calibri" w:cs="Calibri" w:eastAsia="Calibri" w:hAnsi="Calibri"/>
          <w:b/>
          <w:bCs/>
        </w:rPr>
        <w:t xml:space="preserve">Selon notre évaluation : oui, pour Fleet.</w:t>
      </w:r>
      <w:r>
        <w:rPr>
          <w:rFonts w:ascii="Calibri" w:cs="Calibri" w:eastAsia="Calibri" w:hAnsi="Calibri"/>
        </w:rPr>
        <w:t xml:space="preserve"> La liste de la CNIL (délibération n° 2018-327 du 11 octobre 2018) mentionne les traitements ayant pour finalité de surveiller de manière constante l'activité des salariés, ainsi que les traitements de données de localisation à large échelle. Selon les lignes directrices WP 248, deux critères suffisent généralement ; en l'espèce, il s'agit de la surveillance systématique, de données de localisation, de salariés en tant que personnes concernées vulnérables et, avec les amendes, de données relatives aux infractions. La CNIL demande également à l'employeur de vérifier si une AIPD est nécessaire pour la désignation des conducteurs.</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n'enregistre ni journées de travail, ni trajets, ni positions ; l'employeur gère uniquement des sièges (nom, adresse e-mail et les données qu'il saisit lui-même). Ce traitement ne figure pas sur la liste de l'autorité de contrôle et, selon notre évaluation, ne remplit que le critère « travailleurs » des lignes directrices des autorités de contrôle européennes (WP 248), et non deux critères. Une AIPD n'est donc en principe pas obligatoire pour Teams ; inscrivez néanmoins le traitement dans votre registre des activités de traitement (article 30 du RGPD).</w:t>
      </w:r>
    </w:p>
    <w:p>
      <w:pPr>
        <w:pStyle w:val="Heading1"/>
        <w:keepNext/>
        <w:spacing w:after="120" w:before="280"/>
      </w:pPr>
      <w:r>
        <w:rPr>
          <w:rFonts w:ascii="Calibri" w:cs="Calibri" w:eastAsia="Calibri" w:hAnsi="Calibri"/>
          <w:b/>
          <w:bCs/>
          <w:color w:val="1F1F1F"/>
          <w:sz w:val="26"/>
          <w:szCs w:val="26"/>
        </w:rPr>
        <w:t xml:space="preserve">2. Description du traitement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Élément</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Responsable du traitement</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[Nom de l'entreprise, adresse, numéro d'entreprise]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Sous-traitant</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Belgique, numéro d'entreprise 1031.603.017) (accord de sous-traitance joint aux conditions professionnelles)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Personnes concernées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Chauffeurs : </w:t>
            </w:r>
            <w:r>
              <w:rPr>
                <w:rFonts w:ascii="Calibri" w:cs="Calibri" w:eastAsia="Calibri" w:hAnsi="Calibri"/>
                <w:sz w:val="19"/>
                <w:szCs w:val="19"/>
                <w:highlight w:val="yellow"/>
              </w:rPr>
              <w:t xml:space="preserve">[nombre]</w:t>
            </w:r>
            <w:r>
              <w:rPr>
                <w:rFonts w:ascii="Calibri" w:cs="Calibri" w:eastAsia="Calibri" w:hAnsi="Calibri"/>
                <w:sz w:val="19"/>
                <w:szCs w:val="19"/>
              </w:rPr>
              <w:t xml:space="preserve"> travailleurs et autres collaborateurs invités par l'entreprise ; propriétaires et gestionnaires ; personnes de contact des clients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Finalités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[Reprenez les finalités que vous avez cochées dans la politique]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Moyens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L'application TrapSpotter (iOS, Android) sur le téléphone du chauffeur </w:t>
            </w:r>
            <w:r>
              <w:rPr>
                <w:rFonts w:ascii="Calibri" w:cs="Calibri" w:eastAsia="Calibri" w:hAnsi="Calibri"/>
                <w:sz w:val="19"/>
                <w:szCs w:val="19"/>
                <w:highlight w:val="yellow"/>
              </w:rPr>
              <w:t xml:space="preserve">[téléphone personnel / téléphone de l'entreprise]</w:t>
            </w:r>
            <w:r>
              <w:rPr>
                <w:rFonts w:ascii="Calibri" w:cs="Calibri" w:eastAsia="Calibri" w:hAnsi="Calibri"/>
                <w:sz w:val="19"/>
                <w:szCs w:val="19"/>
              </w:rPr>
              <w:t xml:space="preserve"> ; la console sur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Stockage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région AWS eu-north-1 (Stockholm, Suède) ; serveurs propres de TrapSpotter chez Hetzner (Falkenstein, Allemagne). Sous-traitants ultérieurs : annexe 3 de l'accord de sous-traitance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Destinataires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[Noms ou fonctions]</w:t>
            </w:r>
            <w:r>
              <w:rPr>
                <w:rFonts w:ascii="Calibri" w:cs="Calibri" w:eastAsia="Calibri" w:hAnsi="Calibri"/>
                <w:sz w:val="19"/>
                <w:szCs w:val="19"/>
              </w:rPr>
              <w:t xml:space="preserve"> dans la console ; TrapSpotter BV et ses sous-traitants ultérieurs ; </w:t>
            </w:r>
            <w:r>
              <w:rPr>
                <w:rFonts w:ascii="Calibri" w:cs="Calibri" w:eastAsia="Calibri" w:hAnsi="Calibri"/>
                <w:sz w:val="19"/>
                <w:szCs w:val="19"/>
                <w:highlight w:val="yellow"/>
              </w:rPr>
              <w:t xml:space="preserve">[secrétariat social ou prestataire de paie, comptable]</w:t>
            </w:r>
          </w:p>
        </w:tc>
      </w:tr>
    </w:tbl>
    <w:p>
      <w:pPr>
        <w:spacing w:after="120"/>
      </w:pPr>
    </w:p>
    <w:p>
      <w:pPr>
        <w:spacing w:after="120" w:line="276"/>
      </w:pPr>
      <w:r>
        <w:rPr>
          <w:rFonts w:ascii="Calibri" w:cs="Calibri" w:eastAsia="Calibri" w:hAnsi="Calibri"/>
          <w:b/>
          <w:bCs/>
        </w:rPr>
        <w:t xml:space="preserve">Données par fonctionnalité :</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Fonctionnalité</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Données</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Quand</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Conservation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Membres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Nom, adresse e-mail, téléphone, fonction, numéro de matricule, notes, rôle, statut</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Lors de l'invitation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Aussi longtemps que nécessaire ; au plus tard jusqu'à la fin du contrat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Journées de travail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Début, fin, motif de la fin, véhicule ou voiture personnelle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 début à la fin de la journée de travail</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Trajets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Heures, lieux de départ et d'arrivée, itinéraire, distance, client, véhicule, note. Trajet privé : uniquement heure et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Pendant la journée de travail</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Positions en direct (en option)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direction de déplacement, vitesse selon le téléphone (vitesse non affichée), heure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Pendant la journée de travail, si la fonction est activée ; max. 1 par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 immédiatement lors de la désactivation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Clients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Nom, adresse, personne de contact, téléphone,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Saisis par les gestionnaires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Véhicules et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Plaque d'immatriculation, marque, modèle, kilométrage, chauffeur attribué ; document, référence, date d'expiration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Saisis par les gestionnaires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Jusqu'à leur suppression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Reçus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commerçant, montant, TVA, litres, photo, décision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Envoyés par le chauffeur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Amendes (article 10 du RGPD)</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Plaque d'immatriculation, date, heure et lieu de l'infraction, référence, délai, statut, trajet et chauffeur retrouvés, réponse du chauffeur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Lorsque l'entreprise reçoit une amende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45 jours après la réception de l'avis d'infraction (CNIL)</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Relevé kilométrique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Calculé à partir des journées de travail et des trajets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Sur demande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Pas conservé séparément</w:t>
            </w:r>
          </w:p>
        </w:tc>
      </w:tr>
    </w:tbl>
    <w:p>
      <w:pPr>
        <w:spacing w:after="120"/>
      </w:pPr>
    </w:p>
    <w:p>
      <w:pPr>
        <w:pStyle w:val="Heading1"/>
        <w:keepNext/>
        <w:spacing w:after="120" w:before="280"/>
      </w:pPr>
      <w:r>
        <w:rPr>
          <w:rFonts w:ascii="Calibri" w:cs="Calibri" w:eastAsia="Calibri" w:hAnsi="Calibri"/>
          <w:b/>
          <w:bCs/>
          <w:color w:val="1F1F1F"/>
          <w:sz w:val="26"/>
          <w:szCs w:val="26"/>
        </w:rPr>
        <w:t xml:space="preserve">3. Base juridique, nécessité et proportionnalité</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Finalité</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Base juridique (à compléter)</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Pourquoi c'est nécessaire, et pourquoi pas un moyen moins intrusif</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Temps de travail et trajets professionnels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 (intérêt légitime) ; ou point c), si le droit qui vous est applicable impose un enregistrement du temps de travail]</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[Par exemple : preuve des prestations chez les clients ; les feuilles de route papier sont incomplètes et prennent du temps]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Indemnité kilométrique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b) ou f),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[L'indemnité dépend des kilomètres professionnels réellement parcourus]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Gestion du parc automobile et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[Savoir qui conduit quel véhicule ; ne pas manquer les dates d'expiration]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Frais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b),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[Le chauffeur demande lui-même le remboursement]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Amendes routières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 paragraphe 1, point c), du RGPD (article L121-6 du Code de la route) ; article 10 du RGPD : article 46 de la loi Informatique et Libertés, avec les articles A121-1 et suivants du Code de la route (CNIL, référentiel 2021-043)</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[Désigner le conducteur correctement et dans le délai]</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Positions en direct</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 uniquement si vous activez la fonction]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[Par exemple : planification urgente, assistance en cas de panne. Sans ce besoin : laissez la fonction désactivée]</w:t>
            </w:r>
          </w:p>
        </w:tc>
      </w:tr>
    </w:tbl>
    <w:p>
      <w:pPr>
        <w:spacing w:after="120"/>
      </w:pPr>
    </w:p>
    <w:p>
      <w:pPr>
        <w:spacing w:after="120" w:line="276"/>
      </w:pPr>
      <w:r>
        <w:rPr>
          <w:rFonts w:ascii="Calibri" w:cs="Calibri" w:eastAsia="Calibri" w:hAnsi="Calibri"/>
          <w:b/>
          <w:bCs/>
        </w:rPr>
        <w:t xml:space="preserve">Mesures intégrées qui limitent le traitement :</w:t>
      </w:r>
    </w:p>
    <w:p>
      <w:pPr>
        <w:pStyle w:val="ListParagraph"/>
        <w:numPr>
          <w:ilvl w:val="0"/>
          <w:numId w:val="2"/>
        </w:numPr>
        <w:spacing w:after="60" w:line="276"/>
      </w:pPr>
      <w:r>
        <w:rPr>
          <w:rFonts w:ascii="Calibri" w:cs="Calibri" w:eastAsia="Calibri" w:hAnsi="Calibri"/>
        </w:rPr>
        <w:t xml:space="preserve">Enregistrement uniquement entre « Démarrer la journée » et « Terminer la journée », avec un arrêt automatique après le nombre d'heures choisi (4 à 14).</w:t>
      </w:r>
    </w:p>
    <w:p>
      <w:pPr>
        <w:pStyle w:val="ListParagraph"/>
        <w:numPr>
          <w:ilvl w:val="0"/>
          <w:numId w:val="2"/>
        </w:numPr>
        <w:spacing w:after="60" w:line="276"/>
      </w:pPr>
      <w:r>
        <w:rPr>
          <w:rFonts w:ascii="Calibri" w:cs="Calibri" w:eastAsia="Calibri" w:hAnsi="Calibri"/>
        </w:rPr>
        <w:t xml:space="preserve">Trajets privés : les lieux, l'itinéraire et le client sont définitivement effacés sur le serveur ; la base de données n'accepte aucun trajet privé contenant de telles données.</w:t>
      </w:r>
    </w:p>
    <w:p>
      <w:pPr>
        <w:pStyle w:val="ListParagraph"/>
        <w:numPr>
          <w:ilvl w:val="0"/>
          <w:numId w:val="2"/>
        </w:numPr>
        <w:spacing w:after="60" w:line="276"/>
      </w:pPr>
      <w:r>
        <w:rPr>
          <w:rFonts w:ascii="Calibri" w:cs="Calibri" w:eastAsia="Calibri" w:hAnsi="Calibri"/>
        </w:rPr>
        <w:t xml:space="preserve">Les positions en direct sont désactivées par défaut ; si elles sont activées : au maximum une par minute, uniquement pendant une journée de travail, effacées après 30 minutes, et effacées immédiatement lorsque la fonction est désactivée. Le chauffeur voit dans l'application si elles sont activées.</w:t>
      </w:r>
    </w:p>
    <w:p>
      <w:pPr>
        <w:pStyle w:val="ListParagraph"/>
        <w:numPr>
          <w:ilvl w:val="0"/>
          <w:numId w:val="2"/>
        </w:numPr>
        <w:spacing w:after="60" w:line="276"/>
      </w:pPr>
      <w:r>
        <w:rPr>
          <w:rFonts w:ascii="Calibri" w:cs="Calibri" w:eastAsia="Calibri" w:hAnsi="Calibri"/>
        </w:rPr>
        <w:t xml:space="preserve">La console n'affiche aucune vitesse.</w:t>
      </w:r>
    </w:p>
    <w:p>
      <w:pPr>
        <w:pStyle w:val="ListParagraph"/>
        <w:numPr>
          <w:ilvl w:val="0"/>
          <w:numId w:val="2"/>
        </w:numPr>
        <w:spacing w:after="60" w:line="276"/>
      </w:pPr>
      <w:r>
        <w:rPr>
          <w:rFonts w:ascii="Calibri" w:cs="Calibri" w:eastAsia="Calibri" w:hAnsi="Calibri"/>
        </w:rPr>
        <w:t xml:space="preserve">Rôles : un chauffeur ne voit que ses propres données ; les amendes ne sont visibles que par le propriétaire et les gestionnaires ; chaque action dans la console est journalisée.</w:t>
      </w:r>
    </w:p>
    <w:p>
      <w:pPr>
        <w:pStyle w:val="ListParagraph"/>
        <w:numPr>
          <w:ilvl w:val="0"/>
          <w:numId w:val="2"/>
        </w:numPr>
        <w:spacing w:after="60" w:line="276"/>
      </w:pPr>
      <w:r>
        <w:rPr>
          <w:rFonts w:ascii="Calibri" w:cs="Calibri" w:eastAsia="Calibri" w:hAnsi="Calibri"/>
        </w:rPr>
        <w:t xml:space="preserve">Les données relatives aux amendes sont automatiquement effacées au plus tard 24 mois après l'infraction ; l'employeur peut les effacer plus tôt.</w:t>
      </w:r>
    </w:p>
    <w:p>
      <w:pPr>
        <w:pStyle w:val="ListParagraph"/>
        <w:numPr>
          <w:ilvl w:val="0"/>
          <w:numId w:val="2"/>
        </w:numPr>
        <w:spacing w:after="60" w:line="276"/>
      </w:pPr>
      <w:r>
        <w:rPr>
          <w:rFonts w:ascii="Calibri" w:cs="Calibri" w:eastAsia="Calibri" w:hAnsi="Calibri"/>
        </w:rPr>
        <w:t xml:space="preserve">Hébergement dans l'UE ; chiffrement en transit et au repos ; aucun accès direct aux tables ; invitations au moyen d'une clé à usage unique.</w:t>
      </w:r>
    </w:p>
    <w:p>
      <w:pPr>
        <w:pStyle w:val="ListParagraph"/>
        <w:numPr>
          <w:ilvl w:val="0"/>
          <w:numId w:val="2"/>
        </w:numPr>
        <w:spacing w:after="60" w:line="276"/>
      </w:pPr>
      <w:r>
        <w:rPr>
          <w:rFonts w:ascii="Calibri" w:cs="Calibri" w:eastAsia="Calibri" w:hAnsi="Calibri"/>
        </w:rPr>
        <w:t xml:space="preserve">Les collaborateurs de TrapSpotter ne voient dans leur console d'administration ni trajets, ni itinéraires, ni adresses, ni positions, et ne peuvent pas ouvrir la console d'un client.</w:t>
      </w:r>
    </w:p>
    <w:p>
      <w:pPr>
        <w:spacing w:after="60"/>
      </w:pPr>
    </w:p>
    <w:p>
      <w:pPr>
        <w:pStyle w:val="Heading1"/>
        <w:keepNext/>
        <w:spacing w:after="120" w:before="280"/>
      </w:pPr>
      <w:r>
        <w:rPr>
          <w:rFonts w:ascii="Calibri" w:cs="Calibri" w:eastAsia="Calibri" w:hAnsi="Calibri"/>
          <w:b/>
          <w:bCs/>
          <w:color w:val="1F1F1F"/>
          <w:sz w:val="26"/>
          <w:szCs w:val="26"/>
        </w:rPr>
        <w:t xml:space="preserve">4. Droits des personnes concernées</w:t>
      </w:r>
    </w:p>
    <w:p>
      <w:pPr>
        <w:pStyle w:val="ListParagraph"/>
        <w:numPr>
          <w:ilvl w:val="0"/>
          <w:numId w:val="2"/>
        </w:numPr>
        <w:spacing w:after="60" w:line="276"/>
      </w:pPr>
      <w:r>
        <w:rPr>
          <w:rFonts w:ascii="Calibri" w:cs="Calibri" w:eastAsia="Calibri" w:hAnsi="Calibri"/>
        </w:rPr>
        <w:t xml:space="preserve">Information : la lettre d'information des chauffeurs et la politique, avant la première journée de travail.</w:t>
      </w:r>
    </w:p>
    <w:p>
      <w:pPr>
        <w:pStyle w:val="ListParagraph"/>
        <w:numPr>
          <w:ilvl w:val="0"/>
          <w:numId w:val="2"/>
        </w:numPr>
        <w:spacing w:after="60" w:line="276"/>
      </w:pPr>
      <w:r>
        <w:rPr>
          <w:rFonts w:ascii="Calibri" w:cs="Calibri" w:eastAsia="Calibri" w:hAnsi="Calibri"/>
        </w:rPr>
        <w:t xml:space="preserve">Accès et copie : le chauffeur voit ses journées de travail, trajets et reçus dans l'application ; l'employeur peut effectuer un export dans la console.</w:t>
      </w:r>
    </w:p>
    <w:p>
      <w:pPr>
        <w:pStyle w:val="ListParagraph"/>
        <w:numPr>
          <w:ilvl w:val="0"/>
          <w:numId w:val="2"/>
        </w:numPr>
        <w:spacing w:after="60" w:line="276"/>
      </w:pPr>
      <w:r>
        <w:rPr>
          <w:rFonts w:ascii="Calibri" w:cs="Calibri" w:eastAsia="Calibri" w:hAnsi="Calibri"/>
        </w:rPr>
        <w:t xml:space="preserve">Rectification : le chauffeur peut marquer un trajet comme privé ; l'employeur peut rectifier le véhicule, le client et les notes.</w:t>
      </w:r>
    </w:p>
    <w:p>
      <w:pPr>
        <w:pStyle w:val="ListParagraph"/>
        <w:numPr>
          <w:ilvl w:val="0"/>
          <w:numId w:val="2"/>
        </w:numPr>
        <w:spacing w:after="60" w:line="276"/>
      </w:pPr>
      <w:r>
        <w:rPr>
          <w:rFonts w:ascii="Calibri" w:cs="Calibri" w:eastAsia="Calibri" w:hAnsi="Calibri"/>
        </w:rPr>
        <w:t xml:space="preserve">Effacement et limitation : sur demande adressée à l'employeur, qui les fait exécuter par TrapSpotter lorsque la console ne le permet pas (dans les dix jours ouvrables).</w:t>
      </w:r>
    </w:p>
    <w:p>
      <w:pPr>
        <w:pStyle w:val="ListParagraph"/>
        <w:numPr>
          <w:ilvl w:val="0"/>
          <w:numId w:val="2"/>
        </w:numPr>
        <w:spacing w:after="60" w:line="276"/>
      </w:pPr>
      <w:r>
        <w:rPr>
          <w:rFonts w:ascii="Calibri" w:cs="Calibri" w:eastAsia="Calibri" w:hAnsi="Calibri"/>
        </w:rPr>
        <w:t xml:space="preserve">Opposition : aux traitements fondés sur un intérêt légitime, à apprécier par l'employeur.</w:t>
      </w:r>
    </w:p>
    <w:p>
      <w:pPr>
        <w:pStyle w:val="ListParagraph"/>
        <w:numPr>
          <w:ilvl w:val="0"/>
          <w:numId w:val="2"/>
        </w:numPr>
        <w:spacing w:after="60" w:line="276"/>
      </w:pPr>
      <w:r>
        <w:rPr>
          <w:rFonts w:ascii="Calibri" w:cs="Calibri" w:eastAsia="Calibri" w:hAnsi="Calibri"/>
        </w:rPr>
        <w:t xml:space="preserve">Point de contact : </w:t>
      </w:r>
      <w:r>
        <w:rPr>
          <w:rFonts w:ascii="Calibri" w:cs="Calibri" w:eastAsia="Calibri" w:hAnsi="Calibri"/>
          <w:highlight w:val="yellow"/>
        </w:rPr>
        <w:t xml:space="preserve">[nom, adresse e-mail]</w:t>
      </w:r>
      <w:r>
        <w:rPr>
          <w:rFonts w:ascii="Calibri" w:cs="Calibri" w:eastAsia="Calibri" w:hAnsi="Calibri"/>
        </w:rPr>
        <w:t xml:space="preserve">. Réclamation : la Commission nationale de l'informatique et des libertés (CNIL) (www.cnil.fr).</w:t>
      </w:r>
    </w:p>
    <w:p>
      <w:pPr>
        <w:spacing w:after="60"/>
      </w:pPr>
    </w:p>
    <w:p>
      <w:pPr>
        <w:pStyle w:val="Heading1"/>
        <w:keepNext/>
        <w:spacing w:after="120" w:before="280"/>
      </w:pPr>
      <w:r>
        <w:rPr>
          <w:rFonts w:ascii="Calibri" w:cs="Calibri" w:eastAsia="Calibri" w:hAnsi="Calibri"/>
          <w:b/>
          <w:bCs/>
          <w:color w:val="1F1F1F"/>
          <w:sz w:val="26"/>
          <w:szCs w:val="26"/>
        </w:rPr>
        <w:t xml:space="preserve">5. Risques et mesures</w:t>
      </w:r>
    </w:p>
    <w:p>
      <w:pPr>
        <w:spacing w:after="120" w:line="276"/>
      </w:pPr>
      <w:r>
        <w:rPr>
          <w:rFonts w:ascii="Calibri" w:cs="Calibri" w:eastAsia="Calibri" w:hAnsi="Calibri"/>
        </w:rPr>
        <w:t xml:space="preserve">Échelle : vraisemblance et gravité faible, moyenne ou élevée. L'évaluation avant mesures part d'un système de suivi dépourvu des mesures intégrées. Adaptez-la à votre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Risque pour les chauffeurs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Avant mesures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Risque résiduel</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Être suivi en dehors du temps de travail ou pendant les trajets privés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Uniquement pendant une journée de travail ; arrêt automatique ; trajets privés expurgés ; politique et lettre d'information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Surveillance permanente et pression dues aux positions en direct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Désactivées par défaut ; activées uniquement en cas de besoin réel ; une position par minute ; conservées 30 minutes ; visibles pour le chauffeur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Utilisation à d'autres finalités (performances, sanctions, vitesse)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Limitation des finalités dans la politique ; vitesse non affichée ; accès selon le rôle ; journalisation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Accès trop large au sein de l'entreprise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Uniquement les gestionnaires nécessaires ; amendes réservées au propriétaire et aux gestionnaires ; journalisation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Données inexactes (GPS, mauvais véhicule) entraînant une désignation erronée en cas d'amende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Choix du véhicule au démarrage ; correction par un gestionnaire ; confirmation par le chauffeur ; vérification avant la désignation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Déductions sensibles tirées des lieux (par exemple une visite chez un médecin pendant la journée de travail)</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Trajets privés ; conservation courte ; aucune analyse des lieux</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Données relatives aux amendes (article 10 du RGPD) accessibles à des personnes non autorisées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Accès limité ; confidentialité ; conservation courte (au plus 24 mois)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Violation de données chez TrapSpotter ou chez un sous-traitant ultérieur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Mesures de l'annexe 2 de l'accord de sous-traitance ; hébergement dans l'UE ; notification dans les 48 heures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Transfert en dehors de l'EEE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Stockage dans l'UE ; clauses contractuelles types ou cadre de protection des données UE-États-Unis chez les sous-traitants ultérieurs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Conservation trop longue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Durées de conservation dans la politique ; effacement sur demande ; effacement après la fin du contrat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[Dépend de votre suivi]</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Les chauffeurs ne connaissent pas leurs droits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Lettre d'information, politique, point de contact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Informez et consultez le comité social et économique (article L2312-38) et joignez son avis. Le cas échéant, demandez l'avis des chauffeurs (article 35, paragraphe 9, du RGPD).</w:t>
      </w:r>
    </w:p>
    <w:p>
      <w:pPr>
        <w:spacing w:after="140"/>
      </w:pPr>
      <w:r>
        <w:rPr>
          <w:rFonts w:ascii="Calibri" w:cs="Calibri" w:eastAsia="Calibri" w:hAnsi="Calibri"/>
        </w:rPr>
        <w:t xml:space="preserve">Avis du délégué à la protection des données (date, résumé) : </w:t>
      </w:r>
      <w:r>
        <w:rPr>
          <w:rFonts w:ascii="Calibri" w:cs="Calibri" w:eastAsia="Calibri" w:hAnsi="Calibri"/>
          <w:color w:val="7F7F7F"/>
        </w:rPr>
        <w:t xml:space="preserve">__________</w:t>
      </w:r>
    </w:p>
    <w:p>
      <w:pPr>
        <w:spacing w:after="140"/>
      </w:pPr>
      <w:r>
        <w:rPr>
          <w:rFonts w:ascii="Calibri" w:cs="Calibri" w:eastAsia="Calibri" w:hAnsi="Calibri"/>
        </w:rPr>
        <w:t xml:space="preserve">Point de vue des chauffeurs ou de leurs représentants (date, résumé) :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Les risques résiduels sont acceptables compte tenu des mesures ci-dessus. Le traitement peut commencer le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Un risque résiduel élevé subsiste. L'employeur consulte la Commission nationale de l'informatique et des libertés (CNIL) avant le début du traitement (article 36 du RGPD).</w:t>
      </w:r>
    </w:p>
    <w:p>
      <w:pPr>
        <w:spacing w:after="60"/>
      </w:pPr>
    </w:p>
    <w:p>
      <w:pPr>
        <w:spacing w:after="140"/>
      </w:pPr>
      <w:r>
        <w:rPr>
          <w:rFonts w:ascii="Calibri" w:cs="Calibri" w:eastAsia="Calibri" w:hAnsi="Calibri"/>
        </w:rPr>
        <w:t xml:space="preserve">Prochaine révision : </w:t>
      </w:r>
      <w:r>
        <w:rPr>
          <w:rFonts w:ascii="Calibri" w:cs="Calibri" w:eastAsia="Calibri" w:hAnsi="Calibri"/>
          <w:color w:val="7F7F7F"/>
        </w:rPr>
        <w:t xml:space="preserve">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Pour le responsable du traitement</w:t>
            </w:r>
          </w:p>
          <w:p>
            <w:pPr>
              <w:spacing w:after="160"/>
            </w:pPr>
            <w:r>
              <w:rPr>
                <w:rFonts w:ascii="Calibri" w:cs="Calibri" w:eastAsia="Calibri" w:hAnsi="Calibri"/>
              </w:rPr>
              <w:t xml:space="preserve">Nom : ________________________</w:t>
            </w:r>
          </w:p>
          <w:p>
            <w:pPr>
              <w:spacing w:after="160"/>
            </w:pPr>
            <w:r>
              <w:rPr>
                <w:rFonts w:ascii="Calibri" w:cs="Calibri" w:eastAsia="Calibri" w:hAnsi="Calibri"/>
              </w:rPr>
              <w:t xml:space="preserve">Fonction : ________________________</w:t>
            </w:r>
          </w:p>
          <w:p>
            <w:pPr>
              <w:spacing w:after="160"/>
            </w:pPr>
            <w:r>
              <w:rPr>
                <w:rFonts w:ascii="Calibri" w:cs="Calibri" w:eastAsia="Calibri" w:hAnsi="Calibri"/>
              </w:rPr>
              <w:t xml:space="preserve">Date : ________________________</w:t>
            </w:r>
          </w:p>
          <w:p>
            <w:pPr>
              <w:spacing w:after="160"/>
            </w:pPr>
            <w:r>
              <w:rPr>
                <w:rFonts w:ascii="Calibri" w:cs="Calibri" w:eastAsia="Calibri" w:hAnsi="Calibri"/>
              </w:rPr>
              <w:t xml:space="preserve">Signature : ________________________</w:t>
            </w:r>
          </w:p>
        </w:tc>
      </w:tr>
    </w:tbl>
    <w:p>
      <w:pPr>
        <w:pStyle w:val="Heading1"/>
        <w:keepNext/>
        <w:spacing w:after="120" w:before="280"/>
      </w:pPr>
      <w:r>
        <w:rPr>
          <w:rFonts w:ascii="Calibri" w:cs="Calibri" w:eastAsia="Calibri" w:hAnsi="Calibri"/>
          <w:b/>
          <w:bCs/>
          <w:color w:val="1F1F1F"/>
          <w:sz w:val="26"/>
          <w:szCs w:val="26"/>
        </w:rPr>
        <w:t xml:space="preserve">Annexe : références légales (France)</w:t>
      </w:r>
    </w:p>
    <w:p>
      <w:pPr>
        <w:pStyle w:val="ListParagraph"/>
        <w:numPr>
          <w:ilvl w:val="0"/>
          <w:numId w:val="2"/>
        </w:numPr>
        <w:spacing w:after="60" w:line="276"/>
      </w:pPr>
      <w:r>
        <w:rPr>
          <w:rFonts w:ascii="Calibri" w:cs="Calibri" w:eastAsia="Calibri" w:hAnsi="Calibri"/>
        </w:rPr>
        <w:t xml:space="preserve">CNIL, « La géolocalisation des véhicules des salariés » : cnil.fr/fr/la-geolocalisation-des-vehicules-des-salaries ; référentiel des durées de conservation en matière de gestion du personnel (2026).</w:t>
      </w:r>
    </w:p>
    <w:p>
      <w:pPr>
        <w:pStyle w:val="ListParagraph"/>
        <w:numPr>
          <w:ilvl w:val="0"/>
          <w:numId w:val="2"/>
        </w:numPr>
        <w:spacing w:after="60" w:line="276"/>
      </w:pPr>
      <w:r>
        <w:rPr>
          <w:rFonts w:ascii="Calibri" w:cs="Calibri" w:eastAsia="Calibri" w:hAnsi="Calibri"/>
        </w:rPr>
        <w:t xml:space="preserve">CNIL, référentiel 2021-043 du 12 avril 2021 relatif à la désignation des conducteurs ; CNIL, liste des traitements pour lesquels une AIPD est requise (délibération n° 2018-327).</w:t>
      </w:r>
    </w:p>
    <w:p>
      <w:pPr>
        <w:pStyle w:val="ListParagraph"/>
        <w:numPr>
          <w:ilvl w:val="0"/>
          <w:numId w:val="2"/>
        </w:numPr>
        <w:spacing w:after="60" w:line="276"/>
      </w:pPr>
      <w:r>
        <w:rPr>
          <w:rFonts w:ascii="Calibri" w:cs="Calibri" w:eastAsia="Calibri" w:hAnsi="Calibri"/>
        </w:rPr>
        <w:t xml:space="preserve">Code du travail, articles L1121-1, L1222-4, L1331-2 et L2312-38.</w:t>
      </w:r>
    </w:p>
    <w:p>
      <w:pPr>
        <w:pStyle w:val="ListParagraph"/>
        <w:numPr>
          <w:ilvl w:val="0"/>
          <w:numId w:val="2"/>
        </w:numPr>
        <w:spacing w:after="60" w:line="276"/>
      </w:pPr>
      <w:r>
        <w:rPr>
          <w:rFonts w:ascii="Calibri" w:cs="Calibri" w:eastAsia="Calibri" w:hAnsi="Calibri"/>
        </w:rPr>
        <w:t xml:space="preserve">Conseil d'État, 15 décembre 2017, n° 403776 ; Cour de cassation (soc.), 3 novembre 2011, n° 10-18.036, et 17 avril 2013, n° 11-27.550.</w:t>
      </w:r>
    </w:p>
    <w:p>
      <w:pPr>
        <w:pStyle w:val="ListParagraph"/>
        <w:numPr>
          <w:ilvl w:val="0"/>
          <w:numId w:val="2"/>
        </w:numPr>
        <w:spacing w:after="60" w:line="276"/>
      </w:pPr>
      <w:r>
        <w:rPr>
          <w:rFonts w:ascii="Calibri" w:cs="Calibri" w:eastAsia="Calibri" w:hAnsi="Calibri"/>
        </w:rPr>
        <w:t xml:space="preserve">Code de la route, articles L121-2, L121-3, L121-6, L130-9, L130-11, L130-12, R130-12, R412-6-1, R413-15 et A121-1 à A121-3 : legifrance.gouv.fr.</w:t>
      </w:r>
    </w:p>
    <w:p>
      <w:pPr>
        <w:pStyle w:val="ListParagraph"/>
        <w:numPr>
          <w:ilvl w:val="0"/>
          <w:numId w:val="2"/>
        </w:numPr>
        <w:spacing w:after="60" w:line="276"/>
      </w:pPr>
      <w:r>
        <w:rPr>
          <w:rFonts w:ascii="Calibri" w:cs="Calibri" w:eastAsia="Calibri" w:hAnsi="Calibri"/>
        </w:rPr>
        <w:t xml:space="preserve">Loi n° 78-17 du 6 janvier 1978 (Informatique et Libertés), article 46.</w:t>
      </w:r>
    </w:p>
    <w:p>
      <w:pPr>
        <w:pStyle w:val="ListParagraph"/>
        <w:numPr>
          <w:ilvl w:val="0"/>
          <w:numId w:val="2"/>
        </w:numPr>
        <w:spacing w:after="60" w:line="276"/>
      </w:pPr>
      <w:r>
        <w:rPr>
          <w:rFonts w:ascii="Calibri" w:cs="Calibri" w:eastAsia="Calibri" w:hAnsi="Calibri"/>
        </w:rPr>
        <w:t xml:space="preserve">Indemnité kilométrique : article 4 de l'arrêté du 4 septembre 2025 (URSSAF) et barème kilométrique fiscal (article 6 B de l'annexe IV au CGI), selon la puissance fiscale du véhicule.</w:t>
      </w:r>
    </w:p>
    <w:p>
      <w:pPr>
        <w:pStyle w:val="ListParagraph"/>
        <w:numPr>
          <w:ilvl w:val="0"/>
          <w:numId w:val="2"/>
        </w:numPr>
        <w:spacing w:after="60" w:line="276"/>
      </w:pPr>
      <w:r>
        <w:rPr>
          <w:rFonts w:ascii="Calibri" w:cs="Calibri" w:eastAsia="Calibri" w:hAnsi="Calibri"/>
        </w:rPr>
        <w:t xml:space="preserve">Règlement (UE) 2016/679 (RGPD), articles 6, 10, 13, 30 et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Analyse d'impact relative à la protection des données (AIPD) : TrapSpotter Fleet · Modèle de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d'impact relative à la protection des données (AIPD) : TrapSpotter Fleet</dc:title>
  <dc:creator>TrapSpotter BV</dc:creator>
  <dc:description>Modèle de TrapSpotter BV pour les clients de TrapSpotter Fleet (France)</dc:description>
  <cp:lastModifiedBy>Un-named</cp:lastModifiedBy>
  <cp:revision>1</cp:revision>
  <dcterms:created xsi:type="dcterms:W3CDTF">2026-10-08T23:12:49.031Z</dcterms:created>
  <dcterms:modified xsi:type="dcterms:W3CDTF">2026-10-08T23:12:49.031Z</dcterms:modified>
</cp:coreProperties>
</file>

<file path=docProps/custom.xml><?xml version="1.0" encoding="utf-8"?>
<Properties xmlns="http://schemas.openxmlformats.org/officeDocument/2006/custom-properties" xmlns:vt="http://schemas.openxmlformats.org/officeDocument/2006/docPropsVTypes"/>
</file>