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Data protection impact assessment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pre-filled for the Fleet plan · Article 35 GDPR · France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w:t>
            </w:r>
          </w:p>
          <w:p>
            <w:pPr>
              <w:pStyle w:val="ListParagraph"/>
              <w:numPr>
                <w:ilvl w:val="0"/>
                <w:numId w:val="2"/>
              </w:numPr>
              <w:spacing w:after="60"/>
            </w:pPr>
            <w:r>
              <w:rPr>
                <w:rFonts w:ascii="Calibri" w:cs="Calibri" w:eastAsia="Calibri" w:hAnsi="Calibri"/>
              </w:rPr>
              <w:t xml:space="preserve">TrapSpotter BV has filled in what the service does. You add what depends on your company (yellow fields), assess the risks for your situation, seek the advice of your data protection officer if you have one, and sign.</w:t>
            </w:r>
          </w:p>
          <w:p>
            <w:pPr>
              <w:pStyle w:val="ListParagraph"/>
              <w:numPr>
                <w:ilvl w:val="0"/>
                <w:numId w:val="2"/>
              </w:numPr>
              <w:spacing w:after="60"/>
            </w:pPr>
            <w:r>
              <w:rPr>
                <w:rFonts w:ascii="Calibri" w:cs="Calibri" w:eastAsia="Calibri" w:hAnsi="Calibri"/>
              </w:rPr>
              <w:t xml:space="preserve">Carry out the DPIA before the first workday and keep it: the Commission nationale de l'informatique et des libertés (CNIL) may ask for it.</w:t>
            </w:r>
          </w:p>
          <w:p>
            <w:pPr>
              <w:pStyle w:val="ListParagraph"/>
              <w:numPr>
                <w:ilvl w:val="0"/>
                <w:numId w:val="2"/>
              </w:numPr>
              <w:spacing w:after="60"/>
            </w:pPr>
            <w:r>
              <w:rPr>
                <w:rFonts w:ascii="Calibri" w:cs="Calibri" w:eastAsia="Calibri" w:hAnsi="Calibri"/>
              </w:rPr>
              <w:t xml:space="preserve">Review the DPIA whenever your use or the service changes, and at least </w:t>
            </w:r>
            <w:r>
              <w:rPr>
                <w:rFonts w:ascii="Calibri" w:cs="Calibri" w:eastAsia="Calibri" w:hAnsi="Calibri"/>
                <w:highlight w:val="yellow"/>
              </w:rPr>
              <w:t xml:space="preserve">[annually]</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Controller (company, address): </w:t>
      </w:r>
      <w:r>
        <w:rPr>
          <w:rFonts w:ascii="Calibri" w:cs="Calibri" w:eastAsia="Calibri" w:hAnsi="Calibri"/>
          <w:color w:val="7F7F7F"/>
        </w:rPr>
        <w:t xml:space="preserve">_______________________________</w:t>
      </w:r>
    </w:p>
    <w:p>
      <w:pPr>
        <w:spacing w:after="140"/>
      </w:pPr>
      <w:r>
        <w:rPr>
          <w:rFonts w:ascii="Calibri" w:cs="Calibri" w:eastAsia="Calibri" w:hAnsi="Calibri"/>
        </w:rPr>
        <w:t xml:space="preserve">Contact person: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Data protection officer (if designated):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Date of this DPIA: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a DPIA mandatory?</w:t>
      </w:r>
    </w:p>
    <w:p>
      <w:pPr>
        <w:spacing w:after="120" w:line="276"/>
      </w:pPr>
      <w:r>
        <w:rPr>
          <w:rFonts w:ascii="Calibri" w:cs="Calibri" w:eastAsia="Calibri" w:hAnsi="Calibri"/>
          <w:b/>
          <w:bCs/>
        </w:rPr>
        <w:t xml:space="preserve">In our assessment: yes, for Fleet.</w:t>
      </w:r>
      <w:r>
        <w:rPr>
          <w:rFonts w:ascii="Calibri" w:cs="Calibri" w:eastAsia="Calibri" w:hAnsi="Calibri"/>
        </w:rPr>
        <w:t xml:space="preserve"> The CNIL’s list (deliberation No 2018-327 of 11 October 2018) mentions processing operations intended to monitor employees’ activity on an ongoing basis, and the large-scale processing of location data. According to the WP 248 guidelines, two criteria are usually sufficient; here, the processing involves systematic monitoring, location data, employees as vulnerable data subjects and, with the fines, data relating to criminal offences. The CNIL also asks the employer to check whether an AIPD is needed for the designation of drivers.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does not record workdays, trips or positions; the employer only manages seats (name, email address and the data that the employer enters itself). That processing is not on the supervisory authority’s list and, in our assessment, meets only the ‘employees’ criterion of the guidelines of the European supervisory authorities (WP 248), not two criteria. A DPIA is therefore in principle not mandatory for Teams; do, however, include the processing in your record of processing activities (Article 30 GDPR).</w:t>
      </w:r>
    </w:p>
    <w:p>
      <w:pPr>
        <w:pStyle w:val="Heading1"/>
        <w:keepNext/>
        <w:spacing w:after="120" w:before="280"/>
      </w:pPr>
      <w:r>
        <w:rPr>
          <w:rFonts w:ascii="Calibri" w:cs="Calibri" w:eastAsia="Calibri" w:hAnsi="Calibri"/>
          <w:b/>
          <w:bCs/>
          <w:color w:val="1F1F1F"/>
          <w:sz w:val="26"/>
          <w:szCs w:val="26"/>
        </w:rPr>
        <w:t xml:space="preserve">2. Description of the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Item</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Controller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[Company name, address, company number]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Processor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Belgium, enterprise number 1031.603.017) (data processing agreement attached to the business terms)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Data subjects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Drivers: </w:t>
            </w:r>
            <w:r>
              <w:rPr>
                <w:rFonts w:ascii="Calibri" w:cs="Calibri" w:eastAsia="Calibri" w:hAnsi="Calibri"/>
                <w:sz w:val="19"/>
                <w:szCs w:val="19"/>
                <w:highlight w:val="yellow"/>
              </w:rPr>
              <w:t xml:space="preserve">[number]</w:t>
            </w:r>
            <w:r>
              <w:rPr>
                <w:rFonts w:ascii="Calibri" w:cs="Calibri" w:eastAsia="Calibri" w:hAnsi="Calibri"/>
                <w:sz w:val="19"/>
                <w:szCs w:val="19"/>
              </w:rPr>
              <w:t xml:space="preserve"> employees and other workers whom the company invites; owners and administrators; contact persons at customers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Purposes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[Copy the purposes that you ticked in the policy]</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Means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The TrapSpotter app (iOS, Android) on the driver’s phone </w:t>
            </w:r>
            <w:r>
              <w:rPr>
                <w:rFonts w:ascii="Calibri" w:cs="Calibri" w:eastAsia="Calibri" w:hAnsi="Calibri"/>
                <w:sz w:val="19"/>
                <w:szCs w:val="19"/>
                <w:highlight w:val="yellow"/>
              </w:rPr>
              <w:t xml:space="preserve">[own phone / company phone]</w:t>
            </w:r>
            <w:r>
              <w:rPr>
                <w:rFonts w:ascii="Calibri" w:cs="Calibri" w:eastAsia="Calibri" w:hAnsi="Calibri"/>
                <w:sz w:val="19"/>
                <w:szCs w:val="19"/>
              </w:rPr>
              <w:t xml:space="preserve">; the console at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Storage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 region eu-north-1 (Stockholm, Sweden); TrapSpotter’s own servers at Hetzner (Falkenstein, Germany). Sub-processors: Annex 3 to the data processing agreement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Recipients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[Names or positions]</w:t>
            </w:r>
            <w:r>
              <w:rPr>
                <w:rFonts w:ascii="Calibri" w:cs="Calibri" w:eastAsia="Calibri" w:hAnsi="Calibri"/>
                <w:sz w:val="19"/>
                <w:szCs w:val="19"/>
              </w:rPr>
              <w:t xml:space="preserve"> in the console; TrapSpotter BV and its sub-processors; </w:t>
            </w:r>
            <w:r>
              <w:rPr>
                <w:rFonts w:ascii="Calibri" w:cs="Calibri" w:eastAsia="Calibri" w:hAnsi="Calibri"/>
                <w:sz w:val="19"/>
                <w:szCs w:val="19"/>
                <w:highlight w:val="yellow"/>
              </w:rPr>
              <w:t xml:space="preserve">[payroll provider, accountant]</w:t>
            </w:r>
          </w:p>
        </w:tc>
      </w:tr>
    </w:tbl>
    <w:p>
      <w:pPr>
        <w:spacing w:after="120"/>
      </w:pPr>
    </w:p>
    <w:p>
      <w:pPr>
        <w:spacing w:after="120" w:line="276"/>
      </w:pPr>
      <w:r>
        <w:rPr>
          <w:rFonts w:ascii="Calibri" w:cs="Calibri" w:eastAsia="Calibri" w:hAnsi="Calibri"/>
          <w:b/>
          <w:bCs/>
        </w:rPr>
        <w:t xml:space="preserve">Data by feature: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Feature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When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 address, phone, position, staff number, notes, role,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As long as necessary; no later than the end of the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Workdays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Start, end, reason for the end, vehicle or own car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From start to stop of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Trips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Times, start and end location, route, distance, customer, vehicle, note. Private trip: only time and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positions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heading, speed according to the phone (speed not shown), time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 if the feature is switched on; max. 1 per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immediately when switched off</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Customers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address, contact person, 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Vehicles and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make, model, odometer reading, assigned driver; document, reference, expiry date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deletion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merchant, amount, VAT, litres, photo, decision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Submitted by the driver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Fines (Article 10 GDPR)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date, time and place of the offence, reference, time limit, status, trip and driver found, driver’s answer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When the company receives a fine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45 days after receipt of the fine (CNIL)</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Mileage statement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Calculated from workdays and trips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request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Not stored separately</w:t>
            </w:r>
          </w:p>
        </w:tc>
      </w:tr>
    </w:tbl>
    <w:p>
      <w:pPr>
        <w:spacing w:after="120"/>
      </w:pPr>
    </w:p>
    <w:p>
      <w:pPr>
        <w:pStyle w:val="Heading1"/>
        <w:keepNext/>
        <w:spacing w:after="120" w:before="280"/>
      </w:pPr>
      <w:r>
        <w:rPr>
          <w:rFonts w:ascii="Calibri" w:cs="Calibri" w:eastAsia="Calibri" w:hAnsi="Calibri"/>
          <w:b/>
          <w:bCs/>
          <w:color w:val="1F1F1F"/>
          <w:sz w:val="26"/>
          <w:szCs w:val="26"/>
        </w:rPr>
        <w:t xml:space="preserve">3. Legal basis, necessity and proportionality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Purpose</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Legal basis (fill in)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 necessary, and why nothing less intrusive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Working time and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(legitimate interest); or (c), if your law requires working time to be recorded]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evidence of work performed for customers; paper trip logs are incomplete and take time]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Mileage allowance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or (f)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allowance depends on the business kilometres actually driven]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Fleet management and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[Knowing who drives which vehicle; not missing expiry dates]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driver requests reimbursement]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Traffic fines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6(1)(c) GDPR (Article L121-6 of the Code de la route); Article 10 GDPR: Article 46 of the loi Informatique et Libertés, with Articles A121-1 et seq. of the Code de la route (CNIL, reference framework 2021-043)</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[Designating the driver correctly and within the time limit]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only if you switch the feature 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urgent planning, assistance in the event of a breakdown. Without such a need: leave the feature off]</w:t>
            </w:r>
          </w:p>
        </w:tc>
      </w:tr>
    </w:tbl>
    <w:p>
      <w:pPr>
        <w:spacing w:after="120"/>
      </w:pPr>
    </w:p>
    <w:p>
      <w:pPr>
        <w:spacing w:after="120" w:line="276"/>
      </w:pPr>
      <w:r>
        <w:rPr>
          <w:rFonts w:ascii="Calibri" w:cs="Calibri" w:eastAsia="Calibri" w:hAnsi="Calibri"/>
          <w:b/>
          <w:bCs/>
        </w:rPr>
        <w:t xml:space="preserve">Built-in measures that limit the processing:</w:t>
      </w:r>
    </w:p>
    <w:p>
      <w:pPr>
        <w:pStyle w:val="ListParagraph"/>
        <w:numPr>
          <w:ilvl w:val="0"/>
          <w:numId w:val="2"/>
        </w:numPr>
        <w:spacing w:after="60" w:line="276"/>
      </w:pPr>
      <w:r>
        <w:rPr>
          <w:rFonts w:ascii="Calibri" w:cs="Calibri" w:eastAsia="Calibri" w:hAnsi="Calibri"/>
        </w:rPr>
        <w:t xml:space="preserve">Recording only between “Start workday” and “Stop workday”, with an automatic stop after the chosen number of hours (4 to 14).</w:t>
      </w:r>
    </w:p>
    <w:p>
      <w:pPr>
        <w:pStyle w:val="ListParagraph"/>
        <w:numPr>
          <w:ilvl w:val="0"/>
          <w:numId w:val="2"/>
        </w:numPr>
        <w:spacing w:after="60" w:line="276"/>
      </w:pPr>
      <w:r>
        <w:rPr>
          <w:rFonts w:ascii="Calibri" w:cs="Calibri" w:eastAsia="Calibri" w:hAnsi="Calibri"/>
        </w:rPr>
        <w:t xml:space="preserve">Private trips: places, route and customer are permanently deleted on the server; the database does not accept a private trip containing such data.</w:t>
      </w:r>
    </w:p>
    <w:p>
      <w:pPr>
        <w:pStyle w:val="ListParagraph"/>
        <w:numPr>
          <w:ilvl w:val="0"/>
          <w:numId w:val="2"/>
        </w:numPr>
        <w:spacing w:after="60" w:line="276"/>
      </w:pPr>
      <w:r>
        <w:rPr>
          <w:rFonts w:ascii="Calibri" w:cs="Calibri" w:eastAsia="Calibri" w:hAnsi="Calibri"/>
        </w:rPr>
        <w:t xml:space="preserve">Live positions are off by default; when on: at most one per minute, only during a workday, deleted after 30 minutes, and deleted immediately when the feature is switched off. The driver sees in the app whether they are switched on.</w:t>
      </w:r>
    </w:p>
    <w:p>
      <w:pPr>
        <w:pStyle w:val="ListParagraph"/>
        <w:numPr>
          <w:ilvl w:val="0"/>
          <w:numId w:val="2"/>
        </w:numPr>
        <w:spacing w:after="60" w:line="276"/>
      </w:pPr>
      <w:r>
        <w:rPr>
          <w:rFonts w:ascii="Calibri" w:cs="Calibri" w:eastAsia="Calibri" w:hAnsi="Calibri"/>
        </w:rPr>
        <w:t xml:space="preserve">The console does not show speed.</w:t>
      </w:r>
    </w:p>
    <w:p>
      <w:pPr>
        <w:pStyle w:val="ListParagraph"/>
        <w:numPr>
          <w:ilvl w:val="0"/>
          <w:numId w:val="2"/>
        </w:numPr>
        <w:spacing w:after="60" w:line="276"/>
      </w:pPr>
      <w:r>
        <w:rPr>
          <w:rFonts w:ascii="Calibri" w:cs="Calibri" w:eastAsia="Calibri" w:hAnsi="Calibri"/>
        </w:rPr>
        <w:t xml:space="preserve">Roles: a driver sees only their own data; fines only for the owner and the administrators; every action in the console is logged.</w:t>
      </w:r>
    </w:p>
    <w:p>
      <w:pPr>
        <w:pStyle w:val="ListParagraph"/>
        <w:numPr>
          <w:ilvl w:val="0"/>
          <w:numId w:val="2"/>
        </w:numPr>
        <w:spacing w:after="60" w:line="276"/>
      </w:pPr>
      <w:r>
        <w:rPr>
          <w:rFonts w:ascii="Calibri" w:cs="Calibri" w:eastAsia="Calibri" w:hAnsi="Calibri"/>
        </w:rPr>
        <w:t xml:space="preserve">Fines data are automatically deleted no later than 24 months after the offence; the employer can delete them earlier.</w:t>
      </w:r>
    </w:p>
    <w:p>
      <w:pPr>
        <w:pStyle w:val="ListParagraph"/>
        <w:numPr>
          <w:ilvl w:val="0"/>
          <w:numId w:val="2"/>
        </w:numPr>
        <w:spacing w:after="60" w:line="276"/>
      </w:pPr>
      <w:r>
        <w:rPr>
          <w:rFonts w:ascii="Calibri" w:cs="Calibri" w:eastAsia="Calibri" w:hAnsi="Calibri"/>
        </w:rPr>
        <w:t xml:space="preserve">Hosting in the EU; encryption in transit and at rest; no direct access to the tables; invitations with a single-use key.</w:t>
      </w:r>
    </w:p>
    <w:p>
      <w:pPr>
        <w:pStyle w:val="ListParagraph"/>
        <w:numPr>
          <w:ilvl w:val="0"/>
          <w:numId w:val="2"/>
        </w:numPr>
        <w:spacing w:after="60" w:line="276"/>
      </w:pPr>
      <w:r>
        <w:rPr>
          <w:rFonts w:ascii="Calibri" w:cs="Calibri" w:eastAsia="Calibri" w:hAnsi="Calibri"/>
        </w:rPr>
        <w:t xml:space="preserve">TrapSpotter staff do not see any trips, routes, addresses or positions in their admin console, and cannot open a customer’s console.</w:t>
      </w:r>
    </w:p>
    <w:p>
      <w:pPr>
        <w:spacing w:after="60"/>
      </w:pPr>
    </w:p>
    <w:p>
      <w:pPr>
        <w:pStyle w:val="Heading1"/>
        <w:keepNext/>
        <w:spacing w:after="120" w:before="280"/>
      </w:pPr>
      <w:r>
        <w:rPr>
          <w:rFonts w:ascii="Calibri" w:cs="Calibri" w:eastAsia="Calibri" w:hAnsi="Calibri"/>
          <w:b/>
          <w:bCs/>
          <w:color w:val="1F1F1F"/>
          <w:sz w:val="26"/>
          <w:szCs w:val="26"/>
        </w:rPr>
        <w:t xml:space="preserve">4. Rights of the data subjects</w:t>
      </w:r>
    </w:p>
    <w:p>
      <w:pPr>
        <w:pStyle w:val="ListParagraph"/>
        <w:numPr>
          <w:ilvl w:val="0"/>
          <w:numId w:val="2"/>
        </w:numPr>
        <w:spacing w:after="60" w:line="276"/>
      </w:pPr>
      <w:r>
        <w:rPr>
          <w:rFonts w:ascii="Calibri" w:cs="Calibri" w:eastAsia="Calibri" w:hAnsi="Calibri"/>
        </w:rPr>
        <w:t xml:space="preserve">Information: the information letter for drivers and the policy, before the first workday.</w:t>
      </w:r>
    </w:p>
    <w:p>
      <w:pPr>
        <w:pStyle w:val="ListParagraph"/>
        <w:numPr>
          <w:ilvl w:val="0"/>
          <w:numId w:val="2"/>
        </w:numPr>
        <w:spacing w:after="60" w:line="276"/>
      </w:pPr>
      <w:r>
        <w:rPr>
          <w:rFonts w:ascii="Calibri" w:cs="Calibri" w:eastAsia="Calibri" w:hAnsi="Calibri"/>
        </w:rPr>
        <w:t xml:space="preserve">Access and copy: the driver sees their workdays, trips and receipts in the app; the employer can create an export in the console.</w:t>
      </w:r>
    </w:p>
    <w:p>
      <w:pPr>
        <w:pStyle w:val="ListParagraph"/>
        <w:numPr>
          <w:ilvl w:val="0"/>
          <w:numId w:val="2"/>
        </w:numPr>
        <w:spacing w:after="60" w:line="276"/>
      </w:pPr>
      <w:r>
        <w:rPr>
          <w:rFonts w:ascii="Calibri" w:cs="Calibri" w:eastAsia="Calibri" w:hAnsi="Calibri"/>
        </w:rPr>
        <w:t xml:space="preserve">Rectification: the driver can make a trip private; the employer can correct the vehicle, the customer and notes.</w:t>
      </w:r>
    </w:p>
    <w:p>
      <w:pPr>
        <w:pStyle w:val="ListParagraph"/>
        <w:numPr>
          <w:ilvl w:val="0"/>
          <w:numId w:val="2"/>
        </w:numPr>
        <w:spacing w:after="60" w:line="276"/>
      </w:pPr>
      <w:r>
        <w:rPr>
          <w:rFonts w:ascii="Calibri" w:cs="Calibri" w:eastAsia="Calibri" w:hAnsi="Calibri"/>
        </w:rPr>
        <w:t xml:space="preserve">Erasure and restriction: on request to the employer, who has TrapSpotter carry it out where the console cannot (within ten working days).</w:t>
      </w:r>
    </w:p>
    <w:p>
      <w:pPr>
        <w:pStyle w:val="ListParagraph"/>
        <w:numPr>
          <w:ilvl w:val="0"/>
          <w:numId w:val="2"/>
        </w:numPr>
        <w:spacing w:after="60" w:line="276"/>
      </w:pPr>
      <w:r>
        <w:rPr>
          <w:rFonts w:ascii="Calibri" w:cs="Calibri" w:eastAsia="Calibri" w:hAnsi="Calibri"/>
        </w:rPr>
        <w:t xml:space="preserve">Objection: to processing based on a legitimate interest, to be assessed by the employer.</w:t>
      </w:r>
    </w:p>
    <w:p>
      <w:pPr>
        <w:pStyle w:val="ListParagraph"/>
        <w:numPr>
          <w:ilvl w:val="0"/>
          <w:numId w:val="2"/>
        </w:numPr>
        <w:spacing w:after="60" w:line="276"/>
      </w:pPr>
      <w:r>
        <w:rPr>
          <w:rFonts w:ascii="Calibri" w:cs="Calibri" w:eastAsia="Calibri" w:hAnsi="Calibri"/>
        </w:rPr>
        <w:t xml:space="preserve">Contact point: </w:t>
      </w:r>
      <w:r>
        <w:rPr>
          <w:rFonts w:ascii="Calibri" w:cs="Calibri" w:eastAsia="Calibri" w:hAnsi="Calibri"/>
          <w:highlight w:val="yellow"/>
        </w:rPr>
        <w:t xml:space="preserve">[name, email address]</w:t>
      </w:r>
      <w:r>
        <w:rPr>
          <w:rFonts w:ascii="Calibri" w:cs="Calibri" w:eastAsia="Calibri" w:hAnsi="Calibri"/>
        </w:rPr>
        <w:t xml:space="preserve">. Complaint: the Commission nationale de l'informatique et des libertés (CNIL) (www.cnil.fr).</w:t>
      </w:r>
    </w:p>
    <w:p>
      <w:pPr>
        <w:spacing w:after="60"/>
      </w:pPr>
    </w:p>
    <w:p>
      <w:pPr>
        <w:pStyle w:val="Heading1"/>
        <w:keepNext/>
        <w:spacing w:after="120" w:before="280"/>
      </w:pPr>
      <w:r>
        <w:rPr>
          <w:rFonts w:ascii="Calibri" w:cs="Calibri" w:eastAsia="Calibri" w:hAnsi="Calibri"/>
          <w:b/>
          <w:bCs/>
          <w:color w:val="1F1F1F"/>
          <w:sz w:val="26"/>
          <w:szCs w:val="26"/>
        </w:rPr>
        <w:t xml:space="preserve">5. Risks and measures</w:t>
      </w:r>
    </w:p>
    <w:p>
      <w:pPr>
        <w:spacing w:after="120" w:line="276"/>
      </w:pPr>
      <w:r>
        <w:rPr>
          <w:rFonts w:ascii="Calibri" w:cs="Calibri" w:eastAsia="Calibri" w:hAnsi="Calibri"/>
        </w:rPr>
        <w:t xml:space="preserve">Scale: likelihood and severity low, medium or high. The assessment before measures assumes a tracking system without the built-in measures. Adjust the ratings to your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Risk to the drivers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Before measures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Measures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Residual risk</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Being tracked outside working time or during private trips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during a workday; automatic stop; private trips stripped; policy and information letter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Constant monitoring and pressure from live positions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Off by default; only on in case of genuine need; one position per minute; kept for 30 minutes; visible to the driver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Use for other purposes (performance, sanctions, speed)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Purpose limitation in the policy; speed not shown; role-based access;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Excessive access within the company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the necessary administrators; fines only for the owner and administrators;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Inaccurate data (GPS, wrong vehicle) and, as a result, a wrong designation for a fine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Vehicle selection at the start; correction by an administrator; confirmation by the driver; check before the designation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Sensitive inferences from places (for example a visit to a doctor during the workday)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Private trips; short retention; no analysis of places</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Fines data (Article 10 GDPR) in the hands of unauthorised persons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Restricted access; confidentiality; short retention (no later than 24 months)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Breach at TrapSpotter or a sub-processor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Measures from Annex 2 to the data processing agreement; hosting in the EU; notification within 48 hours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 outside the EEA</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Storage in the EU; standard contractual clauses or the EU-US Data Privacy Framework for sub-processors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Retention for too long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Retention periods in the policy; deletion on request; deletion after the end of the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[Depends on your follow-up]</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Drivers do not know their rights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 letter, policy, contact point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Inform and consult the comité social et économique (Article L2312-38) and attach its opinion. Where appropriate, seek the views of the drivers (Article 35(9) GDPR).</w:t>
      </w:r>
    </w:p>
    <w:p>
      <w:pPr>
        <w:spacing w:after="140"/>
      </w:pPr>
      <w:r>
        <w:rPr>
          <w:rFonts w:ascii="Calibri" w:cs="Calibri" w:eastAsia="Calibri" w:hAnsi="Calibri"/>
        </w:rPr>
        <w:t xml:space="preserve">Advice of the data protection officer (date, summary): </w:t>
      </w:r>
      <w:r>
        <w:rPr>
          <w:rFonts w:ascii="Calibri" w:cs="Calibri" w:eastAsia="Calibri" w:hAnsi="Calibri"/>
          <w:color w:val="7F7F7F"/>
        </w:rPr>
        <w:t xml:space="preserve">__________</w:t>
      </w:r>
    </w:p>
    <w:p>
      <w:pPr>
        <w:spacing w:after="140"/>
      </w:pPr>
      <w:r>
        <w:rPr>
          <w:rFonts w:ascii="Calibri" w:cs="Calibri" w:eastAsia="Calibri" w:hAnsi="Calibri"/>
        </w:rPr>
        <w:t xml:space="preserve">Views of the drivers or their representatives (date, summary):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The residual risks are acceptable with the measures above. The processing can start on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 high residual risk remains. The employer consults the Commission nationale de l'informatique et des libertés (CNIL) before the start (Article 36 GDPR).</w:t>
      </w:r>
    </w:p>
    <w:p>
      <w:pPr>
        <w:spacing w:after="60"/>
      </w:pPr>
    </w:p>
    <w:p>
      <w:pPr>
        <w:spacing w:after="140"/>
      </w:pPr>
      <w:r>
        <w:rPr>
          <w:rFonts w:ascii="Calibri" w:cs="Calibri" w:eastAsia="Calibri" w:hAnsi="Calibri"/>
        </w:rPr>
        <w:t xml:space="preserve">Next review: </w:t>
      </w:r>
      <w:r>
        <w:rPr>
          <w:rFonts w:ascii="Calibri" w:cs="Calibri" w:eastAsia="Calibri" w:hAnsi="Calibri"/>
          <w:color w:val="7F7F7F"/>
        </w:rPr>
        <w:t xml:space="preserve">_________________________________________________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controller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p>
      <w:pPr>
        <w:pStyle w:val="Heading1"/>
        <w:keepNext/>
        <w:spacing w:after="120" w:before="280"/>
      </w:pPr>
      <w:r>
        <w:rPr>
          <w:rFonts w:ascii="Calibri" w:cs="Calibri" w:eastAsia="Calibri" w:hAnsi="Calibri"/>
          <w:b/>
          <w:bCs/>
          <w:color w:val="1F1F1F"/>
          <w:sz w:val="26"/>
          <w:szCs w:val="26"/>
        </w:rPr>
        <w:t xml:space="preserve">Annex: legal references for France</w:t>
      </w:r>
    </w:p>
    <w:p>
      <w:pPr>
        <w:pStyle w:val="ListParagraph"/>
        <w:numPr>
          <w:ilvl w:val="0"/>
          <w:numId w:val="2"/>
        </w:numPr>
        <w:spacing w:after="60" w:line="276"/>
      </w:pPr>
      <w:r>
        <w:rPr>
          <w:rFonts w:ascii="Calibri" w:cs="Calibri" w:eastAsia="Calibri" w:hAnsi="Calibri"/>
        </w:rPr>
        <w:t xml:space="preserve">CNIL, ‘La géolocalisation des véhicules des salariés’: cnil.fr/fr/la-geolocalisation-des-vehicules-des-salaries; reference framework on retention periods for personnel management (2026).</w:t>
      </w:r>
    </w:p>
    <w:p>
      <w:pPr>
        <w:pStyle w:val="ListParagraph"/>
        <w:numPr>
          <w:ilvl w:val="0"/>
          <w:numId w:val="2"/>
        </w:numPr>
        <w:spacing w:after="60" w:line="276"/>
      </w:pPr>
      <w:r>
        <w:rPr>
          <w:rFonts w:ascii="Calibri" w:cs="Calibri" w:eastAsia="Calibri" w:hAnsi="Calibri"/>
        </w:rPr>
        <w:t xml:space="preserve">CNIL, reference framework 2021-043 of 12 April 2021 on the designation of drivers; CNIL, list of processing operations for which an AIPD is required (deliberation No 2018-327).</w:t>
      </w:r>
    </w:p>
    <w:p>
      <w:pPr>
        <w:pStyle w:val="ListParagraph"/>
        <w:numPr>
          <w:ilvl w:val="0"/>
          <w:numId w:val="2"/>
        </w:numPr>
        <w:spacing w:after="60" w:line="276"/>
      </w:pPr>
      <w:r>
        <w:rPr>
          <w:rFonts w:ascii="Calibri" w:cs="Calibri" w:eastAsia="Calibri" w:hAnsi="Calibri"/>
        </w:rPr>
        <w:t xml:space="preserve">Code du travail, Articles L1121-1, L1222-4, L1331-2 and L2312-38.</w:t>
      </w:r>
    </w:p>
    <w:p>
      <w:pPr>
        <w:pStyle w:val="ListParagraph"/>
        <w:numPr>
          <w:ilvl w:val="0"/>
          <w:numId w:val="2"/>
        </w:numPr>
        <w:spacing w:after="60" w:line="276"/>
      </w:pPr>
      <w:r>
        <w:rPr>
          <w:rFonts w:ascii="Calibri" w:cs="Calibri" w:eastAsia="Calibri" w:hAnsi="Calibri"/>
        </w:rPr>
        <w:t xml:space="preserve">Conseil d'État, 15 December 2017, No 403776; Cour de cassation (soc.), 3 November 2011, No 10-18.036 and 17 April 2013, No 11-27.550.</w:t>
      </w:r>
    </w:p>
    <w:p>
      <w:pPr>
        <w:pStyle w:val="ListParagraph"/>
        <w:numPr>
          <w:ilvl w:val="0"/>
          <w:numId w:val="2"/>
        </w:numPr>
        <w:spacing w:after="60" w:line="276"/>
      </w:pPr>
      <w:r>
        <w:rPr>
          <w:rFonts w:ascii="Calibri" w:cs="Calibri" w:eastAsia="Calibri" w:hAnsi="Calibri"/>
        </w:rPr>
        <w:t xml:space="preserve">Code de la route, Articles L121-2, L121-3, L121-6, L130-9, L130-11, L130-12, R130-12, R412-6-1, R413-15 and A121-1 to A121-3: legifrance.gouv.fr.</w:t>
      </w:r>
    </w:p>
    <w:p>
      <w:pPr>
        <w:pStyle w:val="ListParagraph"/>
        <w:numPr>
          <w:ilvl w:val="0"/>
          <w:numId w:val="2"/>
        </w:numPr>
        <w:spacing w:after="60" w:line="276"/>
      </w:pPr>
      <w:r>
        <w:rPr>
          <w:rFonts w:ascii="Calibri" w:cs="Calibri" w:eastAsia="Calibri" w:hAnsi="Calibri"/>
        </w:rPr>
        <w:t xml:space="preserve">Act No 78-17 of 6 January 1978 (Informatique et Libertés), Article 46.</w:t>
      </w:r>
    </w:p>
    <w:p>
      <w:pPr>
        <w:pStyle w:val="ListParagraph"/>
        <w:numPr>
          <w:ilvl w:val="0"/>
          <w:numId w:val="2"/>
        </w:numPr>
        <w:spacing w:after="60" w:line="276"/>
      </w:pPr>
      <w:r>
        <w:rPr>
          <w:rFonts w:ascii="Calibri" w:cs="Calibri" w:eastAsia="Calibri" w:hAnsi="Calibri"/>
        </w:rPr>
        <w:t xml:space="preserve">Mileage allowance: Article 4 of the Order of 4 September 2025 (URSSAF) and the tax mileage scale (Article 6 B, Annex IV CGI), according to the vehicle’s fiscal horsepower.</w:t>
      </w:r>
    </w:p>
    <w:p>
      <w:pPr>
        <w:pStyle w:val="ListParagraph"/>
        <w:numPr>
          <w:ilvl w:val="0"/>
          <w:numId w:val="2"/>
        </w:numPr>
        <w:spacing w:after="60" w:line="276"/>
      </w:pPr>
      <w:r>
        <w:rPr>
          <w:rFonts w:ascii="Calibri" w:cs="Calibri" w:eastAsia="Calibri" w:hAnsi="Calibri"/>
        </w:rPr>
        <w:t xml:space="preserve">Regulation (EU) 2016/679 (GDPR), Articles 6, 10, 13, 30 and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Data protection impact assessment (DPIA):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TrapSpotter Fleet</dc:title>
  <dc:creator>TrapSpotter BV</dc:creator>
  <dc:description>Template by TrapSpotter BV for TrapSpotter Fleet customers (France)</dc:description>
  <cp:lastModifiedBy>Un-named</cp:lastModifiedBy>
  <cp:revision>1</cp:revision>
  <dcterms:created xsi:type="dcterms:W3CDTF">2026-10-08T23:12:49.050Z</dcterms:created>
  <dcterms:modified xsi:type="dcterms:W3CDTF">2026-10-08T23:12:49.050Z</dcterms:modified>
</cp:coreProperties>
</file>

<file path=docProps/custom.xml><?xml version="1.0" encoding="utf-8"?>
<Properties xmlns="http://schemas.openxmlformats.org/officeDocument/2006/custom-properties" xmlns:vt="http://schemas.openxmlformats.org/officeDocument/2006/docPropsVTypes"/>
</file>