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1F1F1F"/>
          <w:sz w:val="34"/>
          <w:szCs w:val="34"/>
        </w:rPr>
        <w:t xml:space="preserve">Data protection impact assessment (DPIA): TrapSpotter Fleet</w:t>
      </w:r>
    </w:p>
    <w:p>
      <w:pPr>
        <w:pBdr>
          <w:bottom w:val="single" w:color="C8102E" w:sz="12" w:space="4"/>
        </w:pBdr>
        <w:spacing w:after="160"/>
      </w:pPr>
    </w:p>
    <w:p>
      <w:pPr>
        <w:spacing w:after="80"/>
      </w:pPr>
      <w:r>
        <w:rPr>
          <w:rFonts w:ascii="Calibri" w:cs="Calibri" w:eastAsia="Calibri" w:hAnsi="Calibri"/>
          <w:i/>
          <w:iCs/>
          <w:color w:val="404040"/>
        </w:rPr>
        <w:t xml:space="preserve">Versie 2026-10 / Version 2026-10 · Template by TrapSpotter BV, pre-filled for the Fleet plan · Article 35 GDPR · Germany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Borders>
              <w:top w:val="single" w:color="BFBFBF" w:sz="4"/>
              <w:left w:val="single" w:color="C8102E" w:sz="18"/>
              <w:bottom w:val="single" w:color="BFBFBF" w:sz="4"/>
              <w:right w:val="single" w:color="BFBFBF" w:sz="4"/>
            </w:tcBorders>
            <w:shd w:fill="F2F2F2" w:color="auto" w:val="clear"/>
            <w:tcMar>
              <w:top w:type="dxa" w:w="120"/>
              <w:left w:type="dxa" w:w="160"/>
              <w:bottom w:type="dxa" w:w="120"/>
              <w:right w:type="dxa" w:w="160"/>
            </w:tcMar>
          </w:tcPr>
          <w:p>
            <w:pPr>
              <w:spacing w:after="80"/>
            </w:pPr>
            <w:r>
              <w:rPr>
                <w:rFonts w:ascii="Calibri" w:cs="Calibri" w:eastAsia="Calibri" w:hAnsi="Calibri"/>
                <w:b/>
                <w:bCs/>
              </w:rPr>
              <w:t xml:space="preserve">For the employer</w:t>
            </w:r>
          </w:p>
          <w:p>
            <w:pPr>
              <w:pStyle w:val="ListParagraph"/>
              <w:numPr>
                <w:ilvl w:val="0"/>
                <w:numId w:val="2"/>
              </w:numPr>
              <w:spacing w:after="60"/>
            </w:pPr>
            <w:r>
              <w:rPr>
                <w:rFonts w:ascii="Calibri" w:cs="Calibri" w:eastAsia="Calibri" w:hAnsi="Calibri"/>
              </w:rPr>
              <w:t xml:space="preserve">TrapSpotter BV has filled in what the service does. You add what depends on your company (yellow fields), assess the risks for your situation, seek the advice of your data protection officer if you have one, and sign.</w:t>
            </w:r>
          </w:p>
          <w:p>
            <w:pPr>
              <w:pStyle w:val="ListParagraph"/>
              <w:numPr>
                <w:ilvl w:val="0"/>
                <w:numId w:val="2"/>
              </w:numPr>
              <w:spacing w:after="60"/>
            </w:pPr>
            <w:r>
              <w:rPr>
                <w:rFonts w:ascii="Calibri" w:cs="Calibri" w:eastAsia="Calibri" w:hAnsi="Calibri"/>
              </w:rPr>
              <w:t xml:space="preserve">Carry out the DPIA before the first workday and keep it: the data protection supervisory authority of the federal state (Land) in which the employer is established may ask for it.</w:t>
            </w:r>
          </w:p>
          <w:p>
            <w:pPr>
              <w:pStyle w:val="ListParagraph"/>
              <w:numPr>
                <w:ilvl w:val="0"/>
                <w:numId w:val="2"/>
              </w:numPr>
              <w:spacing w:after="60"/>
            </w:pPr>
            <w:r>
              <w:rPr>
                <w:rFonts w:ascii="Calibri" w:cs="Calibri" w:eastAsia="Calibri" w:hAnsi="Calibri"/>
              </w:rPr>
              <w:t xml:space="preserve">Review the DPIA whenever your use or the service changes, and at least </w:t>
            </w:r>
            <w:r>
              <w:rPr>
                <w:rFonts w:ascii="Calibri" w:cs="Calibri" w:eastAsia="Calibri" w:hAnsi="Calibri"/>
                <w:highlight w:val="yellow"/>
              </w:rPr>
              <w:t xml:space="preserve">[annually]</w:t>
            </w:r>
            <w:r>
              <w:rPr>
                <w:rFonts w:ascii="Calibri" w:cs="Calibri" w:eastAsia="Calibri" w:hAnsi="Calibri"/>
              </w:rPr>
              <w:t xml:space="preserve">.</w:t>
            </w:r>
          </w:p>
        </w:tc>
      </w:tr>
    </w:tbl>
    <w:p>
      <w:pPr>
        <w:spacing w:after="120"/>
      </w:pPr>
    </w:p>
    <w:p>
      <w:pPr>
        <w:spacing w:after="140"/>
      </w:pPr>
      <w:r>
        <w:rPr>
          <w:rFonts w:ascii="Calibri" w:cs="Calibri" w:eastAsia="Calibri" w:hAnsi="Calibri"/>
        </w:rPr>
        <w:t xml:space="preserve">Controller (company, address): </w:t>
      </w:r>
      <w:r>
        <w:rPr>
          <w:rFonts w:ascii="Calibri" w:cs="Calibri" w:eastAsia="Calibri" w:hAnsi="Calibri"/>
          <w:color w:val="7F7F7F"/>
        </w:rPr>
        <w:t xml:space="preserve">_______________________________</w:t>
      </w:r>
    </w:p>
    <w:p>
      <w:pPr>
        <w:spacing w:after="140"/>
      </w:pPr>
      <w:r>
        <w:rPr>
          <w:rFonts w:ascii="Calibri" w:cs="Calibri" w:eastAsia="Calibri" w:hAnsi="Calibri"/>
        </w:rPr>
        <w:t xml:space="preserve">Contact person: </w:t>
      </w:r>
      <w:r>
        <w:rPr>
          <w:rFonts w:ascii="Calibri" w:cs="Calibri" w:eastAsia="Calibri" w:hAnsi="Calibri"/>
          <w:color w:val="7F7F7F"/>
        </w:rPr>
        <w:t xml:space="preserve">______________________________________________</w:t>
      </w:r>
    </w:p>
    <w:p>
      <w:pPr>
        <w:spacing w:after="140"/>
      </w:pPr>
      <w:r>
        <w:rPr>
          <w:rFonts w:ascii="Calibri" w:cs="Calibri" w:eastAsia="Calibri" w:hAnsi="Calibri"/>
        </w:rPr>
        <w:t xml:space="preserve">Data protection officer (if designated): </w:t>
      </w:r>
      <w:r>
        <w:rPr>
          <w:rFonts w:ascii="Calibri" w:cs="Calibri" w:eastAsia="Calibri" w:hAnsi="Calibri"/>
          <w:color w:val="7F7F7F"/>
        </w:rPr>
        <w:t xml:space="preserve">_____________________</w:t>
      </w:r>
    </w:p>
    <w:p>
      <w:pPr>
        <w:spacing w:after="140"/>
      </w:pPr>
      <w:r>
        <w:rPr>
          <w:rFonts w:ascii="Calibri" w:cs="Calibri" w:eastAsia="Calibri" w:hAnsi="Calibri"/>
        </w:rPr>
        <w:t xml:space="preserve">Date of this DPIA: </w:t>
      </w:r>
      <w:r>
        <w:rPr>
          <w:rFonts w:ascii="Calibri" w:cs="Calibri" w:eastAsia="Calibri" w:hAnsi="Calibri"/>
          <w:color w:val="7F7F7F"/>
        </w:rPr>
        <w:t xml:space="preserve">___________________________________________</w:t>
      </w:r>
    </w:p>
    <w:p>
      <w:pPr>
        <w:spacing w:after="140"/>
      </w:pPr>
      <w:r>
        <w:rPr>
          <w:rFonts w:ascii="Calibri" w:cs="Calibri" w:eastAsia="Calibri" w:hAnsi="Calibri"/>
        </w:rPr>
        <w:t xml:space="preserve">Version: </w:t>
      </w:r>
      <w:r>
        <w:rPr>
          <w:rFonts w:ascii="Calibri" w:cs="Calibri" w:eastAsia="Calibri" w:hAnsi="Calibri"/>
          <w:color w:val="7F7F7F"/>
        </w:rPr>
        <w:t xml:space="preserve">_____________________________________________________</w:t>
      </w:r>
    </w:p>
    <w:p>
      <w:pPr>
        <w:pStyle w:val="Heading1"/>
        <w:keepNext/>
        <w:spacing w:after="120" w:before="280"/>
      </w:pPr>
      <w:r>
        <w:rPr>
          <w:rFonts w:ascii="Calibri" w:cs="Calibri" w:eastAsia="Calibri" w:hAnsi="Calibri"/>
          <w:b/>
          <w:bCs/>
          <w:color w:val="1F1F1F"/>
          <w:sz w:val="26"/>
          <w:szCs w:val="26"/>
        </w:rPr>
        <w:t xml:space="preserve">1. Is a DPIA mandatory?</w:t>
      </w:r>
    </w:p>
    <w:p>
      <w:pPr>
        <w:spacing w:after="120" w:line="276"/>
      </w:pPr>
      <w:r>
        <w:rPr>
          <w:rFonts w:ascii="Calibri" w:cs="Calibri" w:eastAsia="Calibri" w:hAnsi="Calibri"/>
          <w:b/>
          <w:bCs/>
        </w:rPr>
        <w:t xml:space="preserve">Yes, for Fleet.</w:t>
      </w:r>
      <w:r>
        <w:rPr>
          <w:rFonts w:ascii="Calibri" w:cs="Calibri" w:eastAsia="Calibri" w:hAnsi="Calibri"/>
        </w:rPr>
        <w:t xml:space="preserve"> The Muss-Liste of the German supervisory authorities (DSK, version 1.1 of 17 October 2018) mentions in No 8 the extensive processing of data on employees’ behaviour, with the geolocation of employees as a typical example, and in No 4 the extensive processing of data on the whereabouts of persons. The Bavarian supervisory authority (BayLDA) writes that the DPIA must be carried out before location tracking is deployed.</w:t>
      </w:r>
    </w:p>
    <w:p>
      <w:pPr>
        <w:pStyle w:val="Heading1"/>
        <w:keepNext/>
        <w:spacing w:after="120" w:before="280"/>
      </w:pPr>
      <w:r>
        <w:rPr>
          <w:rFonts w:ascii="Calibri" w:cs="Calibri" w:eastAsia="Calibri" w:hAnsi="Calibri"/>
          <w:b/>
          <w:bCs/>
          <w:color w:val="1F1F1F"/>
          <w:sz w:val="26"/>
          <w:szCs w:val="26"/>
        </w:rPr>
        <w:t xml:space="preserve">2. Description of the processing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99"/>
        <w:gridCol w:w="6939"/>
      </w:tblGrid>
      <w:tr>
        <w:trPr>
          <w:tblHeader/>
        </w:trPr>
        <w:tc>
          <w:tcPr>
            <w:tcW w:type="pct" w:w="14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Item</w:t>
            </w:r>
          </w:p>
        </w:tc>
        <w:tc>
          <w:tcPr>
            <w:tcW w:type="pct" w:w="36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Description</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Controller</w:t>
            </w:r>
          </w:p>
        </w:tc>
        <w:tc>
          <w:tcPr>
            <w:tcW w:type="pct" w:w="36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[Company name, address, company number]</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Processor</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TrapSpotter BV (Trekschurenstraat 245, 3500 Hasselt, Belgium, enterprise number 1031.603.017) (data processing agreement attached to the business terms)</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Data subjects</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Drivers: </w:t>
            </w:r>
            <w:r>
              <w:rPr>
                <w:rFonts w:ascii="Calibri" w:cs="Calibri" w:eastAsia="Calibri" w:hAnsi="Calibri"/>
                <w:sz w:val="19"/>
                <w:szCs w:val="19"/>
                <w:highlight w:val="yellow"/>
              </w:rPr>
              <w:t xml:space="preserve">[number]</w:t>
            </w:r>
            <w:r>
              <w:rPr>
                <w:rFonts w:ascii="Calibri" w:cs="Calibri" w:eastAsia="Calibri" w:hAnsi="Calibri"/>
                <w:sz w:val="19"/>
                <w:szCs w:val="19"/>
              </w:rPr>
              <w:t xml:space="preserve"> employees and other workers whom the company invites; owners and administrators; contact persons at customers</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Purposes</w:t>
            </w:r>
          </w:p>
        </w:tc>
        <w:tc>
          <w:tcPr>
            <w:tcW w:type="pct" w:w="36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[Copy the purposes that you ticked in the policy]</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Means</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The TrapSpotter app (iOS, Android) on the driver’s phone </w:t>
            </w:r>
            <w:r>
              <w:rPr>
                <w:rFonts w:ascii="Calibri" w:cs="Calibri" w:eastAsia="Calibri" w:hAnsi="Calibri"/>
                <w:sz w:val="19"/>
                <w:szCs w:val="19"/>
                <w:highlight w:val="yellow"/>
              </w:rPr>
              <w:t xml:space="preserve">[own phone / company phone]</w:t>
            </w:r>
            <w:r>
              <w:rPr>
                <w:rFonts w:ascii="Calibri" w:cs="Calibri" w:eastAsia="Calibri" w:hAnsi="Calibri"/>
                <w:sz w:val="19"/>
                <w:szCs w:val="19"/>
              </w:rPr>
              <w:t xml:space="preserve">; the console at fleet.trapspotter.com</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Storage</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Supabase, AWS region eu-north-1 (Stockholm, Sweden); TrapSpotter’s own servers at Hetzner (Falkenstein, Germany). Sub-processors: Annex 3 to the data processing agreement</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Recipients</w:t>
            </w:r>
          </w:p>
        </w:tc>
        <w:tc>
          <w:tcPr>
            <w:tcW w:type="pct" w:w="36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[Names or positions]</w:t>
            </w:r>
            <w:r>
              <w:rPr>
                <w:rFonts w:ascii="Calibri" w:cs="Calibri" w:eastAsia="Calibri" w:hAnsi="Calibri"/>
                <w:sz w:val="19"/>
                <w:szCs w:val="19"/>
              </w:rPr>
              <w:t xml:space="preserve"> in the console; TrapSpotter BV and its sub-processors; </w:t>
            </w:r>
            <w:r>
              <w:rPr>
                <w:rFonts w:ascii="Calibri" w:cs="Calibri" w:eastAsia="Calibri" w:hAnsi="Calibri"/>
                <w:sz w:val="19"/>
                <w:szCs w:val="19"/>
                <w:highlight w:val="yellow"/>
              </w:rPr>
              <w:t xml:space="preserve">[payroll provider, accountant]</w:t>
            </w:r>
          </w:p>
        </w:tc>
      </w:tr>
    </w:tbl>
    <w:p>
      <w:pPr>
        <w:spacing w:after="120"/>
      </w:pPr>
    </w:p>
    <w:p>
      <w:pPr>
        <w:spacing w:after="120" w:line="276"/>
      </w:pPr>
      <w:r>
        <w:rPr>
          <w:rFonts w:ascii="Calibri" w:cs="Calibri" w:eastAsia="Calibri" w:hAnsi="Calibri"/>
          <w:b/>
          <w:bCs/>
        </w:rPr>
        <w:t xml:space="preserve">Data by feature:</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35"/>
        <w:gridCol w:w="3855"/>
        <w:gridCol w:w="1928"/>
        <w:gridCol w:w="2120"/>
      </w:tblGrid>
      <w:tr>
        <w:trPr>
          <w:tblHeader/>
        </w:trPr>
        <w:tc>
          <w:tcPr>
            <w:tcW w:type="pct" w:w="9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Feature</w:t>
            </w:r>
          </w:p>
        </w:tc>
        <w:tc>
          <w:tcPr>
            <w:tcW w:type="pct" w:w="20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Data</w:t>
            </w:r>
          </w:p>
        </w:tc>
        <w:tc>
          <w:tcPr>
            <w:tcW w:type="pct" w:w="10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When</w:t>
            </w:r>
          </w:p>
        </w:tc>
        <w:tc>
          <w:tcPr>
            <w:tcW w:type="pct" w:w="11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Retention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Members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Name, email address, phone, position, staff number, notes, role, status</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On invitation</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As long as necessary; no later than the end of the contract</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Workdays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Start, end, reason for the end, vehicle or own car</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From start to stop of the workday</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[fill in]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Trips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Times, start and end location, route, distance, customer, vehicle, note. Private trip: only time and distance</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During the workday</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[fill in]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Live positions (optional)</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Position, heading, speed according to the phone (speed not shown), time</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During the workday, if the feature is switched on; max. 1 per minute</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30 minutes; immediately when switched off</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Customers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Name, address, contact person, phone, note</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Entered by administrators</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[fill in]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Vehicles and documents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Number plate, make, model, odometer reading, assigned driver; document, reference, expiry date</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Entered by administrators</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Until deletion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Receipts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Date, type, merchant, amount, VAT, litres, photo, decision</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Submitted by the driver</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[fill in]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Fines (Article 10 GDPR)</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Number plate, date, time and place of the offence, reference, time limit, status, trip and driver found, driver’s answer</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When the company receives a fine</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Until the fine has been dealt with (no later than 24 months)</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Mileage statement</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Calculated from workdays and trips</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On request</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Not stored separately</w:t>
            </w:r>
          </w:p>
        </w:tc>
      </w:tr>
    </w:tbl>
    <w:p>
      <w:pPr>
        <w:spacing w:after="120"/>
      </w:pPr>
    </w:p>
    <w:p>
      <w:pPr>
        <w:pStyle w:val="Heading1"/>
        <w:keepNext/>
        <w:spacing w:after="120" w:before="280"/>
      </w:pPr>
      <w:r>
        <w:rPr>
          <w:rFonts w:ascii="Calibri" w:cs="Calibri" w:eastAsia="Calibri" w:hAnsi="Calibri"/>
          <w:b/>
          <w:bCs/>
          <w:color w:val="1F1F1F"/>
          <w:sz w:val="26"/>
          <w:szCs w:val="26"/>
        </w:rPr>
        <w:t xml:space="preserve">3. Legal basis, necessity and proportionality</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13"/>
        <w:gridCol w:w="2891"/>
        <w:gridCol w:w="4433"/>
      </w:tblGrid>
      <w:tr>
        <w:trPr>
          <w:tblHeader/>
        </w:trPr>
        <w:tc>
          <w:tcPr>
            <w:tcW w:type="pct" w:w="12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Purpose</w:t>
            </w:r>
          </w:p>
        </w:tc>
        <w:tc>
          <w:tcPr>
            <w:tcW w:type="pct" w:w="15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Legal basis (fill in)</w:t>
            </w:r>
          </w:p>
        </w:tc>
        <w:tc>
          <w:tcPr>
            <w:tcW w:type="pct" w:w="23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Why necessary, and why nothing less intrusive</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Working time and work trips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[Article 6(1)(f) GDPR (legitimate interest); or (c), if your law requires working time to be recorded]</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[For example: evidence of work performed for customers; paper trip logs are incomplete and take time]</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Mileage allowance</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[Article 6(1)(b) or (f) GDPR]</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[The allowance depends on the business kilometres actually driven]</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Fleet management and documents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[Article 6(1)(f) GDPR]</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[Knowing who drives which vehicle; not missing expiry dates]</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Expenses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[Article 6(1)(b) GDPR]</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[The driver requests reimbursement]</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Traffic fines</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Article 6(1)(f) GDPR. For Article 10 GDPR, we found no clear German legal basis for employers (have this assessed); process only per specific fine</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[Designating the driver correctly and within the time limit]</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Live positions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[Article 6(1)(f) GDPR, only if you switch the feature on]</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[For example: urgent planning, assistance in the event of a breakdown. Without such a need: leave the feature off]</w:t>
            </w:r>
          </w:p>
        </w:tc>
      </w:tr>
    </w:tbl>
    <w:p>
      <w:pPr>
        <w:spacing w:after="120"/>
      </w:pPr>
    </w:p>
    <w:p>
      <w:pPr>
        <w:spacing w:after="120" w:line="276"/>
      </w:pPr>
      <w:r>
        <w:rPr>
          <w:rFonts w:ascii="Calibri" w:cs="Calibri" w:eastAsia="Calibri" w:hAnsi="Calibri"/>
          <w:b/>
          <w:bCs/>
        </w:rPr>
        <w:t xml:space="preserve">Built-in measures that limit the processing:</w:t>
      </w:r>
    </w:p>
    <w:p>
      <w:pPr>
        <w:pStyle w:val="ListParagraph"/>
        <w:numPr>
          <w:ilvl w:val="0"/>
          <w:numId w:val="2"/>
        </w:numPr>
        <w:spacing w:after="60" w:line="276"/>
      </w:pPr>
      <w:r>
        <w:rPr>
          <w:rFonts w:ascii="Calibri" w:cs="Calibri" w:eastAsia="Calibri" w:hAnsi="Calibri"/>
        </w:rPr>
        <w:t xml:space="preserve">Recording only between “Start workday” and “Stop workday”, with an automatic stop after the chosen number of hours (4 to 14).</w:t>
      </w:r>
    </w:p>
    <w:p>
      <w:pPr>
        <w:pStyle w:val="ListParagraph"/>
        <w:numPr>
          <w:ilvl w:val="0"/>
          <w:numId w:val="2"/>
        </w:numPr>
        <w:spacing w:after="60" w:line="276"/>
      </w:pPr>
      <w:r>
        <w:rPr>
          <w:rFonts w:ascii="Calibri" w:cs="Calibri" w:eastAsia="Calibri" w:hAnsi="Calibri"/>
        </w:rPr>
        <w:t xml:space="preserve">Private trips: places, route and customer are permanently deleted on the server; the database does not accept a private trip containing such data.</w:t>
      </w:r>
    </w:p>
    <w:p>
      <w:pPr>
        <w:pStyle w:val="ListParagraph"/>
        <w:numPr>
          <w:ilvl w:val="0"/>
          <w:numId w:val="2"/>
        </w:numPr>
        <w:spacing w:after="60" w:line="276"/>
      </w:pPr>
      <w:r>
        <w:rPr>
          <w:rFonts w:ascii="Calibri" w:cs="Calibri" w:eastAsia="Calibri" w:hAnsi="Calibri"/>
        </w:rPr>
        <w:t xml:space="preserve">Live positions are off by default; when on: at most one per minute, only during a workday, deleted after 30 minutes, and deleted immediately when the feature is switched off. The driver sees in the app whether they are switched on.</w:t>
      </w:r>
    </w:p>
    <w:p>
      <w:pPr>
        <w:pStyle w:val="ListParagraph"/>
        <w:numPr>
          <w:ilvl w:val="0"/>
          <w:numId w:val="2"/>
        </w:numPr>
        <w:spacing w:after="60" w:line="276"/>
      </w:pPr>
      <w:r>
        <w:rPr>
          <w:rFonts w:ascii="Calibri" w:cs="Calibri" w:eastAsia="Calibri" w:hAnsi="Calibri"/>
        </w:rPr>
        <w:t xml:space="preserve">The console does not show speed.</w:t>
      </w:r>
    </w:p>
    <w:p>
      <w:pPr>
        <w:pStyle w:val="ListParagraph"/>
        <w:numPr>
          <w:ilvl w:val="0"/>
          <w:numId w:val="2"/>
        </w:numPr>
        <w:spacing w:after="60" w:line="276"/>
      </w:pPr>
      <w:r>
        <w:rPr>
          <w:rFonts w:ascii="Calibri" w:cs="Calibri" w:eastAsia="Calibri" w:hAnsi="Calibri"/>
        </w:rPr>
        <w:t xml:space="preserve">Roles: a driver sees only their own data; fines only for the owner and the administrators; every action in the console is logged.</w:t>
      </w:r>
    </w:p>
    <w:p>
      <w:pPr>
        <w:pStyle w:val="ListParagraph"/>
        <w:numPr>
          <w:ilvl w:val="0"/>
          <w:numId w:val="2"/>
        </w:numPr>
        <w:spacing w:after="60" w:line="276"/>
      </w:pPr>
      <w:r>
        <w:rPr>
          <w:rFonts w:ascii="Calibri" w:cs="Calibri" w:eastAsia="Calibri" w:hAnsi="Calibri"/>
        </w:rPr>
        <w:t xml:space="preserve">Fines data are automatically deleted no later than 24 months after the offence; the employer can delete them earlier.</w:t>
      </w:r>
    </w:p>
    <w:p>
      <w:pPr>
        <w:pStyle w:val="ListParagraph"/>
        <w:numPr>
          <w:ilvl w:val="0"/>
          <w:numId w:val="2"/>
        </w:numPr>
        <w:spacing w:after="60" w:line="276"/>
      </w:pPr>
      <w:r>
        <w:rPr>
          <w:rFonts w:ascii="Calibri" w:cs="Calibri" w:eastAsia="Calibri" w:hAnsi="Calibri"/>
        </w:rPr>
        <w:t xml:space="preserve">Hosting in the EU; encryption in transit and at rest; no direct access to the tables; invitations with a single-use key.</w:t>
      </w:r>
    </w:p>
    <w:p>
      <w:pPr>
        <w:pStyle w:val="ListParagraph"/>
        <w:numPr>
          <w:ilvl w:val="0"/>
          <w:numId w:val="2"/>
        </w:numPr>
        <w:spacing w:after="60" w:line="276"/>
      </w:pPr>
      <w:r>
        <w:rPr>
          <w:rFonts w:ascii="Calibri" w:cs="Calibri" w:eastAsia="Calibri" w:hAnsi="Calibri"/>
        </w:rPr>
        <w:t xml:space="preserve">TrapSpotter staff do not see any trips, routes, addresses or positions in their admin console, and cannot open a customer’s console.</w:t>
      </w:r>
    </w:p>
    <w:p>
      <w:pPr>
        <w:spacing w:after="60"/>
      </w:pPr>
    </w:p>
    <w:p>
      <w:pPr>
        <w:pStyle w:val="Heading1"/>
        <w:keepNext/>
        <w:spacing w:after="120" w:before="280"/>
      </w:pPr>
      <w:r>
        <w:rPr>
          <w:rFonts w:ascii="Calibri" w:cs="Calibri" w:eastAsia="Calibri" w:hAnsi="Calibri"/>
          <w:b/>
          <w:bCs/>
          <w:color w:val="1F1F1F"/>
          <w:sz w:val="26"/>
          <w:szCs w:val="26"/>
        </w:rPr>
        <w:t xml:space="preserve">4. Rights of the data subjects</w:t>
      </w:r>
    </w:p>
    <w:p>
      <w:pPr>
        <w:pStyle w:val="ListParagraph"/>
        <w:numPr>
          <w:ilvl w:val="0"/>
          <w:numId w:val="2"/>
        </w:numPr>
        <w:spacing w:after="60" w:line="276"/>
      </w:pPr>
      <w:r>
        <w:rPr>
          <w:rFonts w:ascii="Calibri" w:cs="Calibri" w:eastAsia="Calibri" w:hAnsi="Calibri"/>
        </w:rPr>
        <w:t xml:space="preserve">Information: the information letter for drivers and the policy, before the first workday.</w:t>
      </w:r>
    </w:p>
    <w:p>
      <w:pPr>
        <w:pStyle w:val="ListParagraph"/>
        <w:numPr>
          <w:ilvl w:val="0"/>
          <w:numId w:val="2"/>
        </w:numPr>
        <w:spacing w:after="60" w:line="276"/>
      </w:pPr>
      <w:r>
        <w:rPr>
          <w:rFonts w:ascii="Calibri" w:cs="Calibri" w:eastAsia="Calibri" w:hAnsi="Calibri"/>
        </w:rPr>
        <w:t xml:space="preserve">Access and copy: the driver sees their workdays, trips and receipts in the app; the employer can create an export in the console.</w:t>
      </w:r>
    </w:p>
    <w:p>
      <w:pPr>
        <w:pStyle w:val="ListParagraph"/>
        <w:numPr>
          <w:ilvl w:val="0"/>
          <w:numId w:val="2"/>
        </w:numPr>
        <w:spacing w:after="60" w:line="276"/>
      </w:pPr>
      <w:r>
        <w:rPr>
          <w:rFonts w:ascii="Calibri" w:cs="Calibri" w:eastAsia="Calibri" w:hAnsi="Calibri"/>
        </w:rPr>
        <w:t xml:space="preserve">Rectification: the driver can make a trip private; the employer can correct the vehicle, the customer and notes.</w:t>
      </w:r>
    </w:p>
    <w:p>
      <w:pPr>
        <w:pStyle w:val="ListParagraph"/>
        <w:numPr>
          <w:ilvl w:val="0"/>
          <w:numId w:val="2"/>
        </w:numPr>
        <w:spacing w:after="60" w:line="276"/>
      </w:pPr>
      <w:r>
        <w:rPr>
          <w:rFonts w:ascii="Calibri" w:cs="Calibri" w:eastAsia="Calibri" w:hAnsi="Calibri"/>
        </w:rPr>
        <w:t xml:space="preserve">Erasure and restriction: on request to the employer, who has TrapSpotter carry it out where the console cannot (within ten working days).</w:t>
      </w:r>
    </w:p>
    <w:p>
      <w:pPr>
        <w:pStyle w:val="ListParagraph"/>
        <w:numPr>
          <w:ilvl w:val="0"/>
          <w:numId w:val="2"/>
        </w:numPr>
        <w:spacing w:after="60" w:line="276"/>
      </w:pPr>
      <w:r>
        <w:rPr>
          <w:rFonts w:ascii="Calibri" w:cs="Calibri" w:eastAsia="Calibri" w:hAnsi="Calibri"/>
        </w:rPr>
        <w:t xml:space="preserve">Objection: to processing based on a legitimate interest, to be assessed by the employer.</w:t>
      </w:r>
    </w:p>
    <w:p>
      <w:pPr>
        <w:pStyle w:val="ListParagraph"/>
        <w:numPr>
          <w:ilvl w:val="0"/>
          <w:numId w:val="2"/>
        </w:numPr>
        <w:spacing w:after="60" w:line="276"/>
      </w:pPr>
      <w:r>
        <w:rPr>
          <w:rFonts w:ascii="Calibri" w:cs="Calibri" w:eastAsia="Calibri" w:hAnsi="Calibri"/>
        </w:rPr>
        <w:t xml:space="preserve">Contact point: </w:t>
      </w:r>
      <w:r>
        <w:rPr>
          <w:rFonts w:ascii="Calibri" w:cs="Calibri" w:eastAsia="Calibri" w:hAnsi="Calibri"/>
          <w:highlight w:val="yellow"/>
        </w:rPr>
        <w:t xml:space="preserve">[name, email address]</w:t>
      </w:r>
      <w:r>
        <w:rPr>
          <w:rFonts w:ascii="Calibri" w:cs="Calibri" w:eastAsia="Calibri" w:hAnsi="Calibri"/>
        </w:rPr>
        <w:t xml:space="preserve">. Complaint: the data protection supervisory authority of the federal state (Land) in which the employer is established (</w:t>
      </w:r>
      <w:r>
        <w:rPr>
          <w:rFonts w:ascii="Calibri" w:cs="Calibri" w:eastAsia="Calibri" w:hAnsi="Calibri"/>
          <w:highlight w:val="yellow"/>
        </w:rPr>
        <w:t xml:space="preserve">[fill in name and website]</w:t>
      </w:r>
      <w:r>
        <w:rPr>
          <w:rFonts w:ascii="Calibri" w:cs="Calibri" w:eastAsia="Calibri" w:hAnsi="Calibri"/>
        </w:rPr>
        <w:t xml:space="preserve">).</w:t>
      </w:r>
    </w:p>
    <w:p>
      <w:pPr>
        <w:spacing w:after="60"/>
      </w:pPr>
    </w:p>
    <w:p>
      <w:pPr>
        <w:pStyle w:val="Heading1"/>
        <w:keepNext/>
        <w:spacing w:after="120" w:before="280"/>
      </w:pPr>
      <w:r>
        <w:rPr>
          <w:rFonts w:ascii="Calibri" w:cs="Calibri" w:eastAsia="Calibri" w:hAnsi="Calibri"/>
          <w:b/>
          <w:bCs/>
          <w:color w:val="1F1F1F"/>
          <w:sz w:val="26"/>
          <w:szCs w:val="26"/>
        </w:rPr>
        <w:t xml:space="preserve">5. Risks and measures</w:t>
      </w:r>
    </w:p>
    <w:p>
      <w:pPr>
        <w:spacing w:after="120" w:line="276"/>
      </w:pPr>
      <w:r>
        <w:rPr>
          <w:rFonts w:ascii="Calibri" w:cs="Calibri" w:eastAsia="Calibri" w:hAnsi="Calibri"/>
        </w:rPr>
        <w:t xml:space="preserve">Scale: likelihood and severity low, medium or high. The assessment before measures assumes a tracking system without the built-in measures. Adjust the ratings to your situation.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6"/>
        <w:gridCol w:w="1349"/>
        <w:gridCol w:w="4241"/>
        <w:gridCol w:w="1542"/>
      </w:tblGrid>
      <w:tr>
        <w:trPr>
          <w:tblHeader/>
        </w:trPr>
        <w:tc>
          <w:tcPr>
            <w:tcW w:type="pct" w:w="13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Risk to the drivers</w:t>
            </w:r>
          </w:p>
        </w:tc>
        <w:tc>
          <w:tcPr>
            <w:tcW w:type="pct" w:w="7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Before measures</w:t>
            </w:r>
          </w:p>
        </w:tc>
        <w:tc>
          <w:tcPr>
            <w:tcW w:type="pct" w:w="22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Measures</w:t>
            </w:r>
          </w:p>
        </w:tc>
        <w:tc>
          <w:tcPr>
            <w:tcW w:type="pct" w:w="8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Residual risk</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Being tracked outside working time or during private trips</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Medium / high</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Only during a workday; automatic stop; private trips stripped; policy and information letter</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Low</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Constant monitoring and pressure from live positions</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Medium / medium</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Off by default; only on in case of genuine need; one position per minute; kept for 30 minutes; visible to the driver</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[Low]</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Use for other purposes (performance, sanctions, speed)</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Medium / high</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Purpose limitation in the policy; speed not shown; role-based access; activity log</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[Low]</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Excessive access within the company</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Medium / medium</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Only the necessary administrators; fines only for the owner and administrators; activity log</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Low</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Inaccurate data (GPS, wrong vehicle) and, as a result, a wrong designation for a fine</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Medium / high</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Vehicle selection at the start; correction by an administrator; confirmation by the driver; check before the designation</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Low</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Sensitive inferences from places (for example a visit to a doctor during the workday)</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Low / high</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Private trips; short retention; no analysis of places</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[Low]</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Fines data (Article 10 GDPR) in the hands of unauthorised persons</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Low / high</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Restricted access; confidentiality; short retention (no later than 24 months)</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Low</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Breach at TrapSpotter or a sub-processor</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Low / high</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Measures from Annex 2 to the data processing agreement; hosting in the EU; notification within 48 hours</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Low</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Transfer outside the EEA</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Low / medium</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Storage in the EU; standard contractual clauses or the EU-US Data Privacy Framework for sub-processors</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Low</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Retention for too long</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Medium / medium</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Retention periods in the policy; deletion on request; deletion after the end of the contract</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[Depends on your follow-up]</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Drivers do not know their rights</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Medium / medium</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Information letter, policy, contact point</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Low</w:t>
            </w:r>
          </w:p>
        </w:tc>
      </w:tr>
    </w:tbl>
    <w:p>
      <w:pPr>
        <w:spacing w:after="120"/>
      </w:pPr>
    </w:p>
    <w:p>
      <w:pPr>
        <w:pStyle w:val="Heading1"/>
        <w:keepNext/>
        <w:spacing w:after="120" w:before="280"/>
      </w:pPr>
      <w:r>
        <w:rPr>
          <w:rFonts w:ascii="Calibri" w:cs="Calibri" w:eastAsia="Calibri" w:hAnsi="Calibri"/>
          <w:b/>
          <w:bCs/>
          <w:color w:val="1F1F1F"/>
          <w:sz w:val="26"/>
          <w:szCs w:val="26"/>
        </w:rPr>
        <w:t xml:space="preserve">6. Consultation</w:t>
      </w:r>
    </w:p>
    <w:p>
      <w:pPr>
        <w:spacing w:after="120" w:line="276"/>
      </w:pPr>
      <w:r>
        <w:rPr>
          <w:rFonts w:ascii="Calibri" w:cs="Calibri" w:eastAsia="Calibri" w:hAnsi="Calibri"/>
        </w:rPr>
        <w:t xml:space="preserve">Involve the Betriebsrat (§ 87(1) No 6 BetrVG) and, if you have one, the data protection officer (Datenschutzbeauftragter). Where appropriate, seek the views of the drivers (Article 35(9) GDPR).</w:t>
      </w:r>
    </w:p>
    <w:p>
      <w:pPr>
        <w:spacing w:after="140"/>
      </w:pPr>
      <w:r>
        <w:rPr>
          <w:rFonts w:ascii="Calibri" w:cs="Calibri" w:eastAsia="Calibri" w:hAnsi="Calibri"/>
        </w:rPr>
        <w:t xml:space="preserve">Advice of the data protection officer (date, summary): </w:t>
      </w:r>
      <w:r>
        <w:rPr>
          <w:rFonts w:ascii="Calibri" w:cs="Calibri" w:eastAsia="Calibri" w:hAnsi="Calibri"/>
          <w:color w:val="7F7F7F"/>
        </w:rPr>
        <w:t xml:space="preserve">__________</w:t>
      </w:r>
    </w:p>
    <w:p>
      <w:pPr>
        <w:spacing w:after="140"/>
      </w:pPr>
      <w:r>
        <w:rPr>
          <w:rFonts w:ascii="Calibri" w:cs="Calibri" w:eastAsia="Calibri" w:hAnsi="Calibri"/>
        </w:rPr>
        <w:t xml:space="preserve">Views of the drivers or their representatives (date, summary): </w:t>
      </w:r>
      <w:r>
        <w:rPr>
          <w:rFonts w:ascii="Calibri" w:cs="Calibri" w:eastAsia="Calibri" w:hAnsi="Calibri"/>
          <w:color w:val="7F7F7F"/>
        </w:rPr>
        <w:t xml:space="preserve">__________</w:t>
      </w:r>
    </w:p>
    <w:p>
      <w:pPr>
        <w:pStyle w:val="Heading1"/>
        <w:keepNext/>
        <w:spacing w:after="120" w:before="280"/>
      </w:pPr>
      <w:r>
        <w:rPr>
          <w:rFonts w:ascii="Calibri" w:cs="Calibri" w:eastAsia="Calibri" w:hAnsi="Calibri"/>
          <w:b/>
          <w:bCs/>
          <w:color w:val="1F1F1F"/>
          <w:sz w:val="26"/>
          <w:szCs w:val="26"/>
        </w:rPr>
        <w:t xml:space="preserve">7. Conclusion</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The residual risks are acceptable with the measures above. The processing can start on </w:t>
      </w:r>
      <w:r>
        <w:rPr>
          <w:rFonts w:ascii="Calibri" w:cs="Calibri" w:eastAsia="Calibri" w:hAnsi="Calibri"/>
          <w:highlight w:val="yellow"/>
        </w:rPr>
        <w:t xml:space="preserve">[date]</w:t>
      </w:r>
      <w:r>
        <w:rPr>
          <w:rFonts w:ascii="Calibri" w:cs="Calibri" w:eastAsia="Calibri" w:hAnsi="Calibri"/>
        </w:rPr>
        <w:t xml:space="preserve">.</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A high residual risk remains. The employer consults the data protection supervisory authority of the federal state (Land) in which the employer is established before the start (Article 36 GDPR).</w:t>
      </w:r>
    </w:p>
    <w:p>
      <w:pPr>
        <w:spacing w:after="60"/>
      </w:pPr>
    </w:p>
    <w:p>
      <w:pPr>
        <w:spacing w:after="140"/>
      </w:pPr>
      <w:r>
        <w:rPr>
          <w:rFonts w:ascii="Calibri" w:cs="Calibri" w:eastAsia="Calibri" w:hAnsi="Calibri"/>
        </w:rPr>
        <w:t xml:space="preserve">Next review: </w:t>
      </w:r>
      <w:r>
        <w:rPr>
          <w:rFonts w:ascii="Calibri" w:cs="Calibri" w:eastAsia="Calibri" w:hAnsi="Calibri"/>
          <w:color w:val="7F7F7F"/>
        </w:rPr>
        <w:t xml:space="preserve">_________________________________________________</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pct" w:w="5000"/>
            <w:tcBorders>
              <w:top w:val="none"/>
              <w:left w:val="none"/>
              <w:bottom w:val="none"/>
              <w:right w:val="none"/>
            </w:tcBorders>
            <w:tcMar>
              <w:top w:type="dxa" w:w="80"/>
              <w:left w:type="dxa" w:w="0"/>
              <w:bottom w:type="dxa" w:w="80"/>
              <w:right w:type="dxa" w:w="200"/>
            </w:tcMar>
          </w:tcPr>
          <w:p>
            <w:pPr>
              <w:spacing w:after="80"/>
            </w:pPr>
            <w:r>
              <w:rPr>
                <w:rFonts w:ascii="Calibri" w:cs="Calibri" w:eastAsia="Calibri" w:hAnsi="Calibri"/>
                <w:b/>
                <w:bCs/>
              </w:rPr>
              <w:t xml:space="preserve">For the controller</w:t>
            </w:r>
          </w:p>
          <w:p>
            <w:pPr>
              <w:spacing w:after="160"/>
            </w:pPr>
            <w:r>
              <w:rPr>
                <w:rFonts w:ascii="Calibri" w:cs="Calibri" w:eastAsia="Calibri" w:hAnsi="Calibri"/>
              </w:rPr>
              <w:t xml:space="preserve">Name: ________________________</w:t>
            </w:r>
          </w:p>
          <w:p>
            <w:pPr>
              <w:spacing w:after="160"/>
            </w:pPr>
            <w:r>
              <w:rPr>
                <w:rFonts w:ascii="Calibri" w:cs="Calibri" w:eastAsia="Calibri" w:hAnsi="Calibri"/>
              </w:rPr>
              <w:t xml:space="preserve">Position: ________________________</w:t>
            </w:r>
          </w:p>
          <w:p>
            <w:pPr>
              <w:spacing w:after="160"/>
            </w:pPr>
            <w:r>
              <w:rPr>
                <w:rFonts w:ascii="Calibri" w:cs="Calibri" w:eastAsia="Calibri" w:hAnsi="Calibri"/>
              </w:rPr>
              <w:t xml:space="preserve">Date: ________________________</w:t>
            </w:r>
          </w:p>
          <w:p>
            <w:pPr>
              <w:spacing w:after="160"/>
            </w:pPr>
            <w:r>
              <w:rPr>
                <w:rFonts w:ascii="Calibri" w:cs="Calibri" w:eastAsia="Calibri" w:hAnsi="Calibri"/>
              </w:rPr>
              <w:t xml:space="preserve">Signature: ________________________</w:t>
            </w:r>
          </w:p>
        </w:tc>
      </w:tr>
    </w:tbl>
    <w:p>
      <w:pPr>
        <w:pStyle w:val="Heading1"/>
        <w:keepNext/>
        <w:spacing w:after="120" w:before="280"/>
      </w:pPr>
      <w:r>
        <w:rPr>
          <w:rFonts w:ascii="Calibri" w:cs="Calibri" w:eastAsia="Calibri" w:hAnsi="Calibri"/>
          <w:b/>
          <w:bCs/>
          <w:color w:val="1F1F1F"/>
          <w:sz w:val="26"/>
          <w:szCs w:val="26"/>
        </w:rPr>
        <w:t xml:space="preserve">Annex: legal references for Germany</w:t>
      </w:r>
    </w:p>
    <w:p>
      <w:pPr>
        <w:pStyle w:val="ListParagraph"/>
        <w:numPr>
          <w:ilvl w:val="0"/>
          <w:numId w:val="2"/>
        </w:numPr>
        <w:spacing w:after="60" w:line="276"/>
      </w:pPr>
      <w:r>
        <w:rPr>
          <w:rFonts w:ascii="Calibri" w:cs="Calibri" w:eastAsia="Calibri" w:hAnsi="Calibri"/>
        </w:rPr>
        <w:t xml:space="preserve">Betriebsverfassungsgesetz (Works Constitution Act), §§ 1, 77 and 87(1) No 6: gesetze-im-internet.de/betrvg; BAG 13 December 2016, 1 ABR 7/15.</w:t>
      </w:r>
    </w:p>
    <w:p>
      <w:pPr>
        <w:pStyle w:val="ListParagraph"/>
        <w:numPr>
          <w:ilvl w:val="0"/>
          <w:numId w:val="2"/>
        </w:numPr>
        <w:spacing w:after="60" w:line="276"/>
      </w:pPr>
      <w:r>
        <w:rPr>
          <w:rFonts w:ascii="Calibri" w:cs="Calibri" w:eastAsia="Calibri" w:hAnsi="Calibri"/>
        </w:rPr>
        <w:t xml:space="preserve">§ 26 BDSG; Court of Justice, C-34/21 (30 March 2023) and C-65/23 (19 December 2024); DSK resolution of 11 May 2023.</w:t>
      </w:r>
    </w:p>
    <w:p>
      <w:pPr>
        <w:pStyle w:val="ListParagraph"/>
        <w:numPr>
          <w:ilvl w:val="0"/>
          <w:numId w:val="2"/>
        </w:numPr>
        <w:spacing w:after="60" w:line="276"/>
      </w:pPr>
      <w:r>
        <w:rPr>
          <w:rFonts w:ascii="Calibri" w:cs="Calibri" w:eastAsia="Calibri" w:hAnsi="Calibri"/>
        </w:rPr>
        <w:t xml:space="preserve">DSK, Muss-Liste DSFA (version 1.1 of 17 October 2018), Nos 4 and 8: datenschutzkonferenz-online.de.</w:t>
      </w:r>
    </w:p>
    <w:p>
      <w:pPr>
        <w:pStyle w:val="ListParagraph"/>
        <w:numPr>
          <w:ilvl w:val="0"/>
          <w:numId w:val="2"/>
        </w:numPr>
        <w:spacing w:after="60" w:line="276"/>
      </w:pPr>
      <w:r>
        <w:rPr>
          <w:rFonts w:ascii="Calibri" w:cs="Calibri" w:eastAsia="Calibri" w:hAnsi="Calibri"/>
        </w:rPr>
        <w:t xml:space="preserve">BayLDA, 15th activity report (2025), chapter 9.3; LDI NRW, 31st report (2026), chapter 14.3; LfDI Rheinland-Pfalz, ‘GPS-Ortung’: datenschutz.rlp.de/themen/gps-ortung.</w:t>
      </w:r>
    </w:p>
    <w:p>
      <w:pPr>
        <w:pStyle w:val="ListParagraph"/>
        <w:numPr>
          <w:ilvl w:val="0"/>
          <w:numId w:val="2"/>
        </w:numPr>
        <w:spacing w:after="60" w:line="276"/>
      </w:pPr>
      <w:r>
        <w:rPr>
          <w:rFonts w:ascii="Calibri" w:cs="Calibri" w:eastAsia="Calibri" w:hAnsi="Calibri"/>
        </w:rPr>
        <w:t xml:space="preserve">§ 23(1c) StVO and Bußgeldkatalog No 247 (€75 and 1 point); OLG Karlsruhe 7 February 2023 (2 ORbs 35 Ss 9/23); OLG Celle 3 November 2015 (2 Ss (OWi) 313/15).</w:t>
      </w:r>
    </w:p>
    <w:p>
      <w:pPr>
        <w:pStyle w:val="ListParagraph"/>
        <w:numPr>
          <w:ilvl w:val="0"/>
          <w:numId w:val="2"/>
        </w:numPr>
        <w:spacing w:after="60" w:line="276"/>
      </w:pPr>
      <w:r>
        <w:rPr>
          <w:rFonts w:ascii="Calibri" w:cs="Calibri" w:eastAsia="Calibri" w:hAnsi="Calibri"/>
        </w:rPr>
        <w:t xml:space="preserve">§ 31a StVZO (logbook), §§ 25a and 26(3) StVG; VGH München 25 April 2022 (11 CS 22.549).</w:t>
      </w:r>
    </w:p>
    <w:p>
      <w:pPr>
        <w:pStyle w:val="ListParagraph"/>
        <w:numPr>
          <w:ilvl w:val="0"/>
          <w:numId w:val="2"/>
        </w:numPr>
        <w:spacing w:after="60" w:line="276"/>
      </w:pPr>
      <w:r>
        <w:rPr>
          <w:rFonts w:ascii="Calibri" w:cs="Calibri" w:eastAsia="Calibri" w:hAnsi="Calibri"/>
        </w:rPr>
        <w:t xml:space="preserve">Mileage allowance (Kilometergeld): § 3 No 16 and § 9(1), third sentence, No 4a EStG; § 5 Bundesreisekostengesetz (€0.30 per kilometre by car).</w:t>
      </w:r>
    </w:p>
    <w:p>
      <w:pPr>
        <w:pStyle w:val="ListParagraph"/>
        <w:numPr>
          <w:ilvl w:val="0"/>
          <w:numId w:val="2"/>
        </w:numPr>
        <w:spacing w:after="60" w:line="276"/>
      </w:pPr>
      <w:r>
        <w:rPr>
          <w:rFonts w:ascii="Calibri" w:cs="Calibri" w:eastAsia="Calibri" w:hAnsi="Calibri"/>
        </w:rPr>
        <w:t xml:space="preserve">§ 14 OWiG (participation); Regulation (EU) 2016/679 (GDPR), Articles 6, 10, 13, 30 and 35.</w:t>
      </w:r>
    </w:p>
    <w:p>
      <w:pPr>
        <w:spacing w:after="60"/>
      </w:pP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F7F7F"/>
        <w:sz w:val="16"/>
        <w:szCs w:val="16"/>
      </w:rPr>
      <w:t xml:space="preserve">Data protection impact assessment (DPIA): TrapSpotter Fleet · Template by TrapSpotter BV · Versie 2026-10 / Version 2026-10  ·  </w:t>
    </w:r>
    <w:r>
      <w:rPr>
        <w:rFonts w:ascii="Calibri" w:cs="Calibri" w:eastAsia="Calibri" w:hAnsi="Calibri"/>
        <w:color w:val="7F7F7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protection impact assessment (DPIA): TrapSpotter Fleet</dc:title>
  <dc:creator>TrapSpotter BV</dc:creator>
  <dc:description>Template by TrapSpotter BV for TrapSpotter Fleet customers (Germany)</dc:description>
  <cp:lastModifiedBy>Un-named</cp:lastModifiedBy>
  <cp:revision>1</cp:revision>
  <dcterms:created xsi:type="dcterms:W3CDTF">2026-10-08T23:12:49.088Z</dcterms:created>
  <dcterms:modified xsi:type="dcterms:W3CDTF">2026-10-08T23:12:49.088Z</dcterms:modified>
</cp:coreProperties>
</file>

<file path=docProps/custom.xml><?xml version="1.0" encoding="utf-8"?>
<Properties xmlns="http://schemas.openxmlformats.org/officeDocument/2006/custom-properties" xmlns:vt="http://schemas.openxmlformats.org/officeDocument/2006/docPropsVTypes"/>
</file>