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Calibri" w:cs="Calibri" w:eastAsia="Calibri" w:hAnsi="Calibri"/>
          <w:b/>
          <w:bCs/>
          <w:color w:val="1F1F1F"/>
          <w:sz w:val="34"/>
          <w:szCs w:val="34"/>
        </w:rPr>
        <w:t xml:space="preserve">Gegevensbeschermingseffectbeoordeling (DPIA): TrapSpotter Fleet</w:t>
      </w:r>
    </w:p>
    <w:p>
      <w:pPr>
        <w:pBdr>
          <w:bottom w:val="single" w:color="C8102E" w:sz="12" w:space="4"/>
        </w:pBdr>
        <w:spacing w:after="160"/>
      </w:pPr>
    </w:p>
    <w:p>
      <w:pPr>
        <w:spacing w:after="80"/>
      </w:pPr>
      <w:r>
        <w:rPr>
          <w:rFonts w:ascii="Calibri" w:cs="Calibri" w:eastAsia="Calibri" w:hAnsi="Calibri"/>
          <w:i/>
          <w:iCs/>
          <w:color w:val="404040"/>
        </w:rPr>
        <w:t xml:space="preserve">Versie 2026-10 / Version 2026-10 · Model van TrapSpotter BV, vooraf ingevuld voor het plan Fleet · artikel 35 AVG · België</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Borders>
              <w:top w:val="single" w:color="BFBFBF" w:sz="4"/>
              <w:left w:val="single" w:color="C8102E" w:sz="18"/>
              <w:bottom w:val="single" w:color="BFBFBF" w:sz="4"/>
              <w:right w:val="single" w:color="BFBFBF" w:sz="4"/>
            </w:tcBorders>
            <w:shd w:fill="F2F2F2" w:color="auto" w:val="clear"/>
            <w:tcMar>
              <w:top w:type="dxa" w:w="120"/>
              <w:left w:type="dxa" w:w="160"/>
              <w:bottom w:type="dxa" w:w="120"/>
              <w:right w:type="dxa" w:w="160"/>
            </w:tcMar>
          </w:tcPr>
          <w:p>
            <w:pPr>
              <w:spacing w:after="80"/>
            </w:pPr>
            <w:r>
              <w:rPr>
                <w:rFonts w:ascii="Calibri" w:cs="Calibri" w:eastAsia="Calibri" w:hAnsi="Calibri"/>
                <w:b/>
                <w:bCs/>
              </w:rPr>
              <w:t xml:space="preserve">Voor de werkgever</w:t>
            </w:r>
          </w:p>
          <w:p>
            <w:pPr>
              <w:pStyle w:val="ListParagraph"/>
              <w:numPr>
                <w:ilvl w:val="0"/>
                <w:numId w:val="2"/>
              </w:numPr>
              <w:spacing w:after="60"/>
            </w:pPr>
            <w:r>
              <w:rPr>
                <w:rFonts w:ascii="Calibri" w:cs="Calibri" w:eastAsia="Calibri" w:hAnsi="Calibri"/>
              </w:rPr>
              <w:t xml:space="preserve">TrapSpotter BV vulde in wat de dienst doet. U vult aan wat van uw onderneming afhangt (gele velden), beoordeelt de risico’s voor uw situatie, vraagt het advies van uw functionaris voor gegevensbescherming als u er een hebt, en ondertekent.</w:t>
            </w:r>
          </w:p>
          <w:p>
            <w:pPr>
              <w:pStyle w:val="ListParagraph"/>
              <w:numPr>
                <w:ilvl w:val="0"/>
                <w:numId w:val="2"/>
              </w:numPr>
              <w:spacing w:after="60"/>
            </w:pPr>
            <w:r>
              <w:rPr>
                <w:rFonts w:ascii="Calibri" w:cs="Calibri" w:eastAsia="Calibri" w:hAnsi="Calibri"/>
              </w:rPr>
              <w:t xml:space="preserve">Voer de DPIA uit vóór de eerste werkdag en bewaar ze: de Gegevensbeschermingsautoriteit (GBA) kan erom vragen.</w:t>
            </w:r>
          </w:p>
          <w:p>
            <w:pPr>
              <w:pStyle w:val="ListParagraph"/>
              <w:numPr>
                <w:ilvl w:val="0"/>
                <w:numId w:val="2"/>
              </w:numPr>
              <w:spacing w:after="60"/>
            </w:pPr>
            <w:r>
              <w:rPr>
                <w:rFonts w:ascii="Calibri" w:cs="Calibri" w:eastAsia="Calibri" w:hAnsi="Calibri"/>
              </w:rPr>
              <w:t xml:space="preserve">Herzie de DPIA wanneer uw gebruik of de dienst verandert, en minstens </w:t>
            </w:r>
            <w:r>
              <w:rPr>
                <w:rFonts w:ascii="Calibri" w:cs="Calibri" w:eastAsia="Calibri" w:hAnsi="Calibri"/>
                <w:highlight w:val="yellow"/>
              </w:rPr>
              <w:t xml:space="preserve">[jaarlijks]</w:t>
            </w:r>
            <w:r>
              <w:rPr>
                <w:rFonts w:ascii="Calibri" w:cs="Calibri" w:eastAsia="Calibri" w:hAnsi="Calibri"/>
              </w:rPr>
              <w:t xml:space="preserve">.</w:t>
            </w:r>
          </w:p>
        </w:tc>
      </w:tr>
    </w:tbl>
    <w:p>
      <w:pPr>
        <w:spacing w:after="120"/>
      </w:pPr>
    </w:p>
    <w:p>
      <w:pPr>
        <w:spacing w:after="140"/>
      </w:pPr>
      <w:r>
        <w:rPr>
          <w:rFonts w:ascii="Calibri" w:cs="Calibri" w:eastAsia="Calibri" w:hAnsi="Calibri"/>
        </w:rPr>
        <w:t xml:space="preserve">Verwerkingsverantwoordelijke (bedrijf, adres): </w:t>
      </w:r>
      <w:r>
        <w:rPr>
          <w:rFonts w:ascii="Calibri" w:cs="Calibri" w:eastAsia="Calibri" w:hAnsi="Calibri"/>
          <w:color w:val="7F7F7F"/>
        </w:rPr>
        <w:t xml:space="preserve">_______________</w:t>
      </w:r>
    </w:p>
    <w:p>
      <w:pPr>
        <w:spacing w:after="140"/>
      </w:pPr>
      <w:r>
        <w:rPr>
          <w:rFonts w:ascii="Calibri" w:cs="Calibri" w:eastAsia="Calibri" w:hAnsi="Calibri"/>
        </w:rPr>
        <w:t xml:space="preserve">Contactpersoon: </w:t>
      </w:r>
      <w:r>
        <w:rPr>
          <w:rFonts w:ascii="Calibri" w:cs="Calibri" w:eastAsia="Calibri" w:hAnsi="Calibri"/>
          <w:color w:val="7F7F7F"/>
        </w:rPr>
        <w:t xml:space="preserve">______________________________________________</w:t>
      </w:r>
    </w:p>
    <w:p>
      <w:pPr>
        <w:spacing w:after="140"/>
      </w:pPr>
      <w:r>
        <w:rPr>
          <w:rFonts w:ascii="Calibri" w:cs="Calibri" w:eastAsia="Calibri" w:hAnsi="Calibri"/>
        </w:rPr>
        <w:t xml:space="preserve">Functionaris voor gegevensbescherming (indien aangesteld): </w:t>
      </w:r>
      <w:r>
        <w:rPr>
          <w:rFonts w:ascii="Calibri" w:cs="Calibri" w:eastAsia="Calibri" w:hAnsi="Calibri"/>
          <w:color w:val="7F7F7F"/>
        </w:rPr>
        <w:t xml:space="preserve">__________</w:t>
      </w:r>
    </w:p>
    <w:p>
      <w:pPr>
        <w:spacing w:after="140"/>
      </w:pPr>
      <w:r>
        <w:rPr>
          <w:rFonts w:ascii="Calibri" w:cs="Calibri" w:eastAsia="Calibri" w:hAnsi="Calibri"/>
        </w:rPr>
        <w:t xml:space="preserve">Datum van deze DPIA: </w:t>
      </w:r>
      <w:r>
        <w:rPr>
          <w:rFonts w:ascii="Calibri" w:cs="Calibri" w:eastAsia="Calibri" w:hAnsi="Calibri"/>
          <w:color w:val="7F7F7F"/>
        </w:rPr>
        <w:t xml:space="preserve">_________________________________________</w:t>
      </w:r>
    </w:p>
    <w:p>
      <w:pPr>
        <w:spacing w:after="140"/>
      </w:pPr>
      <w:r>
        <w:rPr>
          <w:rFonts w:ascii="Calibri" w:cs="Calibri" w:eastAsia="Calibri" w:hAnsi="Calibri"/>
        </w:rPr>
        <w:t xml:space="preserve">Versie: </w:t>
      </w:r>
      <w:r>
        <w:rPr>
          <w:rFonts w:ascii="Calibri" w:cs="Calibri" w:eastAsia="Calibri" w:hAnsi="Calibri"/>
          <w:color w:val="7F7F7F"/>
        </w:rPr>
        <w:t xml:space="preserve">______________________________________________________</w:t>
      </w:r>
    </w:p>
    <w:p>
      <w:pPr>
        <w:pStyle w:val="Heading1"/>
        <w:keepNext/>
        <w:spacing w:after="120" w:before="280"/>
      </w:pPr>
      <w:r>
        <w:rPr>
          <w:rFonts w:ascii="Calibri" w:cs="Calibri" w:eastAsia="Calibri" w:hAnsi="Calibri"/>
          <w:b/>
          <w:bCs/>
          <w:color w:val="1F1F1F"/>
          <w:sz w:val="26"/>
          <w:szCs w:val="26"/>
        </w:rPr>
        <w:t xml:space="preserve">1. Is een DPIA verplicht?</w:t>
      </w:r>
    </w:p>
    <w:p>
      <w:pPr>
        <w:spacing w:after="120" w:line="276"/>
      </w:pPr>
      <w:r>
        <w:rPr>
          <w:rFonts w:ascii="Calibri" w:cs="Calibri" w:eastAsia="Calibri" w:hAnsi="Calibri"/>
          <w:b/>
          <w:bCs/>
        </w:rPr>
        <w:t xml:space="preserve">In onze beoordeling: ja, voor Fleet.</w:t>
      </w:r>
      <w:r>
        <w:rPr>
          <w:rFonts w:ascii="Calibri" w:cs="Calibri" w:eastAsia="Calibri" w:hAnsi="Calibri"/>
        </w:rPr>
        <w:t xml:space="preserve"> De lijst van de Gegevensbeschermingsautoriteit (beslissing nr. 01/2019 van 16 januari 2019) noemt de grootschalige of systematische verwerking van locatiegegevens die niet strikt noodzakelijk is voor een dienst die de betrokkene zelf vraagt (punt 7), en de systematische observatie van gedrag via geautomatiseerde verwerking (punt 8). De lijst noemt werknemers niet afzonderlijk, maar is niet limitatief (punt 9).</w:t>
      </w:r>
    </w:p>
    <w:p>
      <w:pPr>
        <w:spacing w:after="120" w:line="276"/>
      </w:pPr>
      <w:r>
        <w:rPr>
          <w:rFonts w:ascii="Calibri" w:cs="Calibri" w:eastAsia="Calibri" w:hAnsi="Calibri"/>
        </w:rPr>
        <w:t xml:space="preserve">Volgens de richtsnoeren van de Europese toezichthouders (WP 248) volstaan meestal twee criteria; hier gaat het om systematische monitoring, locatiegegevens, werknemers als kwetsbare betrokkenen en, met de boetes, gegevens over strafbare feiten.</w:t>
      </w:r>
    </w:p>
    <w:p>
      <w:pPr>
        <w:spacing w:after="120" w:line="276"/>
      </w:pPr>
      <w:r>
        <w:rPr>
          <w:rFonts w:ascii="Calibri" w:cs="Calibri" w:eastAsia="Calibri" w:hAnsi="Calibri"/>
          <w:b/>
          <w:bCs/>
        </w:rPr>
        <w:t xml:space="preserve">TrapSpotter Teams.</w:t>
      </w:r>
      <w:r>
        <w:rPr>
          <w:rFonts w:ascii="Calibri" w:cs="Calibri" w:eastAsia="Calibri" w:hAnsi="Calibri"/>
        </w:rPr>
        <w:t xml:space="preserve"> Teams registreert geen werkdagen, ritten of posities; de werkgever beheert alleen seats (naam, e-mailadres en de gegevens die hij zelf invult). Die verwerking staat niet op de lijst van de toezichthouder en voldoet in onze beoordeling alleen aan het criterium ‘werknemers’ van de richtsnoeren van de Europese toezichthouders (WP 248), niet aan twee criteria. Een DPIA is voor Teams dus in principe niet verplicht; neem de verwerking wel op in uw register van verwerkingsactiviteiten (artikel 30 AVG).</w:t>
      </w:r>
    </w:p>
    <w:p>
      <w:pPr>
        <w:pStyle w:val="Heading1"/>
        <w:keepNext/>
        <w:spacing w:after="120" w:before="280"/>
      </w:pPr>
      <w:r>
        <w:rPr>
          <w:rFonts w:ascii="Calibri" w:cs="Calibri" w:eastAsia="Calibri" w:hAnsi="Calibri"/>
          <w:b/>
          <w:bCs/>
          <w:color w:val="1F1F1F"/>
          <w:sz w:val="26"/>
          <w:szCs w:val="26"/>
        </w:rPr>
        <w:t xml:space="preserve">2. Beschrijving van de verwerking</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99"/>
        <w:gridCol w:w="6939"/>
      </w:tblGrid>
      <w:tr>
        <w:trPr>
          <w:tblHeader/>
        </w:trPr>
        <w:tc>
          <w:tcPr>
            <w:tcW w:type="pct" w:w="14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Onderdeel</w:t>
            </w:r>
          </w:p>
        </w:tc>
        <w:tc>
          <w:tcPr>
            <w:tcW w:type="pct" w:w="36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Beschrijving</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Verwerkingsverantwoordelijke</w:t>
            </w:r>
          </w:p>
        </w:tc>
        <w:tc>
          <w:tcPr>
            <w:tcW w:type="pct" w:w="36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[Bedrijfsnaam, adres, ondernemingsnummer]</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Verwerker</w:t>
            </w:r>
          </w:p>
        </w:tc>
        <w:tc>
          <w:tcPr>
            <w:tcW w:type="pct" w:w="3600"/>
            <w:tcMar>
              <w:top w:type="dxa" w:w="60"/>
              <w:left w:type="dxa" w:w="100"/>
              <w:bottom w:type="dxa" w:w="60"/>
              <w:right w:type="dxa" w:w="100"/>
            </w:tcMar>
          </w:tcPr>
          <w:p>
            <w:pPr>
              <w:spacing w:after="40"/>
            </w:pPr>
            <w:r>
              <w:rPr>
                <w:rFonts w:ascii="Calibri" w:cs="Calibri" w:eastAsia="Calibri" w:hAnsi="Calibri"/>
                <w:sz w:val="19"/>
                <w:szCs w:val="19"/>
              </w:rPr>
              <w:t xml:space="preserve">TrapSpotter BV (Trekschurenstraat 245, 3500 Hasselt, België, ondernemingsnummer 1031.603.017) (verwerkersovereenkomst bij de zakelijke voorwaarden)</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Betrokkenen</w:t>
            </w:r>
          </w:p>
        </w:tc>
        <w:tc>
          <w:tcPr>
            <w:tcW w:type="pct" w:w="3600"/>
            <w:tcMar>
              <w:top w:type="dxa" w:w="60"/>
              <w:left w:type="dxa" w:w="100"/>
              <w:bottom w:type="dxa" w:w="60"/>
              <w:right w:type="dxa" w:w="100"/>
            </w:tcMar>
          </w:tcPr>
          <w:p>
            <w:pPr>
              <w:spacing w:after="40"/>
            </w:pPr>
            <w:r>
              <w:rPr>
                <w:rFonts w:ascii="Calibri" w:cs="Calibri" w:eastAsia="Calibri" w:hAnsi="Calibri"/>
                <w:sz w:val="19"/>
                <w:szCs w:val="19"/>
              </w:rPr>
              <w:t xml:space="preserve">Chauffeurs: </w:t>
            </w:r>
            <w:r>
              <w:rPr>
                <w:rFonts w:ascii="Calibri" w:cs="Calibri" w:eastAsia="Calibri" w:hAnsi="Calibri"/>
                <w:sz w:val="19"/>
                <w:szCs w:val="19"/>
                <w:highlight w:val="yellow"/>
              </w:rPr>
              <w:t xml:space="preserve">[aantal]</w:t>
            </w:r>
            <w:r>
              <w:rPr>
                <w:rFonts w:ascii="Calibri" w:cs="Calibri" w:eastAsia="Calibri" w:hAnsi="Calibri"/>
                <w:sz w:val="19"/>
                <w:szCs w:val="19"/>
              </w:rPr>
              <w:t xml:space="preserve"> werknemers en andere medewerkers die het bedrijf uitnodigt; eigenaars en beheerders; contactpersonen van klanten</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Doeleinden</w:t>
            </w:r>
          </w:p>
        </w:tc>
        <w:tc>
          <w:tcPr>
            <w:tcW w:type="pct" w:w="36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[Neem de doeleinden over die u in het beleid aanvinkte]</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Middelen</w:t>
            </w:r>
          </w:p>
        </w:tc>
        <w:tc>
          <w:tcPr>
            <w:tcW w:type="pct" w:w="3600"/>
            <w:tcMar>
              <w:top w:type="dxa" w:w="60"/>
              <w:left w:type="dxa" w:w="100"/>
              <w:bottom w:type="dxa" w:w="60"/>
              <w:right w:type="dxa" w:w="100"/>
            </w:tcMar>
          </w:tcPr>
          <w:p>
            <w:pPr>
              <w:spacing w:after="40"/>
            </w:pPr>
            <w:r>
              <w:rPr>
                <w:rFonts w:ascii="Calibri" w:cs="Calibri" w:eastAsia="Calibri" w:hAnsi="Calibri"/>
                <w:sz w:val="19"/>
                <w:szCs w:val="19"/>
              </w:rPr>
              <w:t xml:space="preserve">De TrapSpotter-app (iOS, Android) op de telefoon van de chauffeur </w:t>
            </w:r>
            <w:r>
              <w:rPr>
                <w:rFonts w:ascii="Calibri" w:cs="Calibri" w:eastAsia="Calibri" w:hAnsi="Calibri"/>
                <w:sz w:val="19"/>
                <w:szCs w:val="19"/>
                <w:highlight w:val="yellow"/>
              </w:rPr>
              <w:t xml:space="preserve">[eigen telefoon / telefoon van het bedrijf]</w:t>
            </w:r>
            <w:r>
              <w:rPr>
                <w:rFonts w:ascii="Calibri" w:cs="Calibri" w:eastAsia="Calibri" w:hAnsi="Calibri"/>
                <w:sz w:val="19"/>
                <w:szCs w:val="19"/>
              </w:rPr>
              <w:t xml:space="preserve">; de console op fleet.trapspotter.com</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Opslag</w:t>
            </w:r>
          </w:p>
        </w:tc>
        <w:tc>
          <w:tcPr>
            <w:tcW w:type="pct" w:w="3600"/>
            <w:tcMar>
              <w:top w:type="dxa" w:w="60"/>
              <w:left w:type="dxa" w:w="100"/>
              <w:bottom w:type="dxa" w:w="60"/>
              <w:right w:type="dxa" w:w="100"/>
            </w:tcMar>
          </w:tcPr>
          <w:p>
            <w:pPr>
              <w:spacing w:after="40"/>
            </w:pPr>
            <w:r>
              <w:rPr>
                <w:rFonts w:ascii="Calibri" w:cs="Calibri" w:eastAsia="Calibri" w:hAnsi="Calibri"/>
                <w:sz w:val="19"/>
                <w:szCs w:val="19"/>
              </w:rPr>
              <w:t xml:space="preserve">Supabase, AWS-regio eu-north-1 (Stockholm, Zweden); eigen servers van TrapSpotter bij Hetzner (Falkenstein, Duitsland). Subverwerkers: bijlage 3 van de verwerkersovereenkomst</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Ontvangers</w:t>
            </w:r>
          </w:p>
        </w:tc>
        <w:tc>
          <w:tcPr>
            <w:tcW w:type="pct" w:w="36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[Namen of functies]</w:t>
            </w:r>
            <w:r>
              <w:rPr>
                <w:rFonts w:ascii="Calibri" w:cs="Calibri" w:eastAsia="Calibri" w:hAnsi="Calibri"/>
                <w:sz w:val="19"/>
                <w:szCs w:val="19"/>
              </w:rPr>
              <w:t xml:space="preserve"> in de console; TrapSpotter BV en zijn subverwerkers; </w:t>
            </w:r>
            <w:r>
              <w:rPr>
                <w:rFonts w:ascii="Calibri" w:cs="Calibri" w:eastAsia="Calibri" w:hAnsi="Calibri"/>
                <w:sz w:val="19"/>
                <w:szCs w:val="19"/>
                <w:highlight w:val="yellow"/>
              </w:rPr>
              <w:t xml:space="preserve">[sociaal secretariaat of salarisadministratie, boekhouder]</w:t>
            </w:r>
          </w:p>
        </w:tc>
      </w:tr>
    </w:tbl>
    <w:p>
      <w:pPr>
        <w:spacing w:after="120"/>
      </w:pPr>
    </w:p>
    <w:p>
      <w:pPr>
        <w:spacing w:after="120" w:line="276"/>
      </w:pPr>
      <w:r>
        <w:rPr>
          <w:rFonts w:ascii="Calibri" w:cs="Calibri" w:eastAsia="Calibri" w:hAnsi="Calibri"/>
          <w:b/>
          <w:bCs/>
        </w:rPr>
        <w:t xml:space="preserve">Gegevens per functie:</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35"/>
        <w:gridCol w:w="3855"/>
        <w:gridCol w:w="1928"/>
        <w:gridCol w:w="2120"/>
      </w:tblGrid>
      <w:tr>
        <w:trPr>
          <w:tblHeader/>
        </w:trPr>
        <w:tc>
          <w:tcPr>
            <w:tcW w:type="pct" w:w="9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Functie</w:t>
            </w:r>
          </w:p>
        </w:tc>
        <w:tc>
          <w:tcPr>
            <w:tcW w:type="pct" w:w="20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Gegevens</w:t>
            </w:r>
          </w:p>
        </w:tc>
        <w:tc>
          <w:tcPr>
            <w:tcW w:type="pct" w:w="10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Wanneer</w:t>
            </w:r>
          </w:p>
        </w:tc>
        <w:tc>
          <w:tcPr>
            <w:tcW w:type="pct" w:w="11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Bewaring</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Leden</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Naam, e-mailadres, telefoon, functie, personeelsnummer, notities, rol, status</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Bij uitnodiging</w:t>
            </w:r>
          </w:p>
        </w:tc>
        <w:tc>
          <w:tcPr>
            <w:tcW w:type="pct" w:w="1100"/>
            <w:tcMar>
              <w:top w:type="dxa" w:w="60"/>
              <w:left w:type="dxa" w:w="100"/>
              <w:bottom w:type="dxa" w:w="60"/>
              <w:right w:type="dxa" w:w="100"/>
            </w:tcMar>
          </w:tcPr>
          <w:p>
            <w:pPr>
              <w:spacing w:after="40"/>
            </w:pPr>
            <w:r>
              <w:rPr>
                <w:rFonts w:ascii="Calibri" w:cs="Calibri" w:eastAsia="Calibri" w:hAnsi="Calibri"/>
                <w:sz w:val="19"/>
                <w:szCs w:val="19"/>
              </w:rPr>
              <w:t xml:space="preserve">Zolang nodig; uiterlijk einde contract</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Werkdagen</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Begin, einde, reden van het einde, voertuig of eigen wagen</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Start tot stop van de werkdag</w:t>
            </w:r>
          </w:p>
        </w:tc>
        <w:tc>
          <w:tcPr>
            <w:tcW w:type="pct" w:w="11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[invullen]</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Ritten</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Tijden, begin- en eindplaats, route, afstand, klant, voertuig, notitie. Privérit: alleen tijd en afstand</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Tijdens de werkdag</w:t>
            </w:r>
          </w:p>
        </w:tc>
        <w:tc>
          <w:tcPr>
            <w:tcW w:type="pct" w:w="11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[invullen]</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Live posities (optioneel)</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Positie, rijrichting, snelheid volgens de telefoon (snelheid niet getoond), tijd</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Tijdens de werkdag, als de functie aanstaat; max. 1 per minuut</w:t>
            </w:r>
          </w:p>
        </w:tc>
        <w:tc>
          <w:tcPr>
            <w:tcW w:type="pct" w:w="1100"/>
            <w:tcMar>
              <w:top w:type="dxa" w:w="60"/>
              <w:left w:type="dxa" w:w="100"/>
              <w:bottom w:type="dxa" w:w="60"/>
              <w:right w:type="dxa" w:w="100"/>
            </w:tcMar>
          </w:tcPr>
          <w:p>
            <w:pPr>
              <w:spacing w:after="40"/>
            </w:pPr>
            <w:r>
              <w:rPr>
                <w:rFonts w:ascii="Calibri" w:cs="Calibri" w:eastAsia="Calibri" w:hAnsi="Calibri"/>
                <w:sz w:val="19"/>
                <w:szCs w:val="19"/>
              </w:rPr>
              <w:t xml:space="preserve">30 minuten; meteen bij uitzetten</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Klanten</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Naam, adres, contactpersoon, telefoon, notitie</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Door beheerders ingevoerd</w:t>
            </w:r>
          </w:p>
        </w:tc>
        <w:tc>
          <w:tcPr>
            <w:tcW w:type="pct" w:w="11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[invullen]</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Voertuigen en documenten</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Nummerplaat, merk, model, kilometerstand, toegewezen chauffeur; document, referentie, vervaldatum</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Door beheerders ingevoerd</w:t>
            </w:r>
          </w:p>
        </w:tc>
        <w:tc>
          <w:tcPr>
            <w:tcW w:type="pct" w:w="1100"/>
            <w:tcMar>
              <w:top w:type="dxa" w:w="60"/>
              <w:left w:type="dxa" w:w="100"/>
              <w:bottom w:type="dxa" w:w="60"/>
              <w:right w:type="dxa" w:w="100"/>
            </w:tcMar>
          </w:tcPr>
          <w:p>
            <w:pPr>
              <w:spacing w:after="40"/>
            </w:pPr>
            <w:r>
              <w:rPr>
                <w:rFonts w:ascii="Calibri" w:cs="Calibri" w:eastAsia="Calibri" w:hAnsi="Calibri"/>
                <w:sz w:val="19"/>
                <w:szCs w:val="19"/>
              </w:rPr>
              <w:t xml:space="preserve">Tot verwijdering</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Bonnetjes</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Datum, soort, handelaar, bedrag, btw, liters, foto, beslissing</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Door de chauffeur ingestuurd</w:t>
            </w:r>
          </w:p>
        </w:tc>
        <w:tc>
          <w:tcPr>
            <w:tcW w:type="pct" w:w="11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[invullen]</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Boetes (artikel 10 AVG)</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Nummerplaat, datum, uur en plaats van de overtreding, referentie, termijn, status, gevonden rit en chauffeur, antwoord van de chauffeur</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Wanneer het bedrijf een boete ontvangt</w:t>
            </w:r>
          </w:p>
        </w:tc>
        <w:tc>
          <w:tcPr>
            <w:tcW w:type="pct" w:w="1100"/>
            <w:tcMar>
              <w:top w:type="dxa" w:w="60"/>
              <w:left w:type="dxa" w:w="100"/>
              <w:bottom w:type="dxa" w:w="60"/>
              <w:right w:type="dxa" w:w="100"/>
            </w:tcMar>
          </w:tcPr>
          <w:p>
            <w:pPr>
              <w:spacing w:after="40"/>
            </w:pPr>
            <w:r>
              <w:rPr>
                <w:rFonts w:ascii="Calibri" w:cs="Calibri" w:eastAsia="Calibri" w:hAnsi="Calibri"/>
                <w:sz w:val="19"/>
                <w:szCs w:val="19"/>
              </w:rPr>
              <w:t xml:space="preserve">Uiterlijk 24 maanden na de overtreding</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Kilometerstaat</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Berekend uit werkdagen en ritten</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Op vraag</w:t>
            </w:r>
          </w:p>
        </w:tc>
        <w:tc>
          <w:tcPr>
            <w:tcW w:type="pct" w:w="1100"/>
            <w:tcMar>
              <w:top w:type="dxa" w:w="60"/>
              <w:left w:type="dxa" w:w="100"/>
              <w:bottom w:type="dxa" w:w="60"/>
              <w:right w:type="dxa" w:w="100"/>
            </w:tcMar>
          </w:tcPr>
          <w:p>
            <w:pPr>
              <w:spacing w:after="40"/>
            </w:pPr>
            <w:r>
              <w:rPr>
                <w:rFonts w:ascii="Calibri" w:cs="Calibri" w:eastAsia="Calibri" w:hAnsi="Calibri"/>
                <w:sz w:val="19"/>
                <w:szCs w:val="19"/>
              </w:rPr>
              <w:t xml:space="preserve">Niet apart bewaard</w:t>
            </w:r>
          </w:p>
        </w:tc>
      </w:tr>
    </w:tbl>
    <w:p>
      <w:pPr>
        <w:spacing w:after="120"/>
      </w:pPr>
    </w:p>
    <w:p>
      <w:pPr>
        <w:pStyle w:val="Heading1"/>
        <w:keepNext/>
        <w:spacing w:after="120" w:before="280"/>
      </w:pPr>
      <w:r>
        <w:rPr>
          <w:rFonts w:ascii="Calibri" w:cs="Calibri" w:eastAsia="Calibri" w:hAnsi="Calibri"/>
          <w:b/>
          <w:bCs/>
          <w:color w:val="1F1F1F"/>
          <w:sz w:val="26"/>
          <w:szCs w:val="26"/>
        </w:rPr>
        <w:t xml:space="preserve">3. Rechtsgrond, noodzaak en evenredigheid</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13"/>
        <w:gridCol w:w="2891"/>
        <w:gridCol w:w="4433"/>
      </w:tblGrid>
      <w:tr>
        <w:trPr>
          <w:tblHeader/>
        </w:trPr>
        <w:tc>
          <w:tcPr>
            <w:tcW w:type="pct" w:w="12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Doel</w:t>
            </w:r>
          </w:p>
        </w:tc>
        <w:tc>
          <w:tcPr>
            <w:tcW w:type="pct" w:w="15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Rechtsgrond (invullen)</w:t>
            </w:r>
          </w:p>
        </w:tc>
        <w:tc>
          <w:tcPr>
            <w:tcW w:type="pct" w:w="23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Waarom nodig, en waarom niet minder ingrijpend</w:t>
            </w:r>
          </w:p>
        </w:tc>
      </w:tr>
      <w:tr>
        <w:tc>
          <w:tcPr>
            <w:tcW w:type="pct" w:w="1200"/>
            <w:tcMar>
              <w:top w:type="dxa" w:w="60"/>
              <w:left w:type="dxa" w:w="100"/>
              <w:bottom w:type="dxa" w:w="60"/>
              <w:right w:type="dxa" w:w="100"/>
            </w:tcMar>
          </w:tcPr>
          <w:p>
            <w:pPr>
              <w:spacing w:after="40"/>
            </w:pPr>
            <w:r>
              <w:rPr>
                <w:rFonts w:ascii="Calibri" w:cs="Calibri" w:eastAsia="Calibri" w:hAnsi="Calibri"/>
                <w:sz w:val="19"/>
                <w:szCs w:val="19"/>
              </w:rPr>
              <w:t xml:space="preserve">Werktijd en werkritten</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[artikel 6, lid 1, f AVG (gerechtvaardigd belang); of c, als uw recht een registratie van de arbeidstijd oplegt]</w:t>
            </w:r>
          </w:p>
        </w:tc>
        <w:tc>
          <w:tcPr>
            <w:tcW w:type="pct" w:w="23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[Bijvoorbeeld: bewijs van prestaties bij klanten; papieren ritlijsten zijn onvolledig en kosten tijd]</w:t>
            </w:r>
          </w:p>
        </w:tc>
      </w:tr>
      <w:tr>
        <w:tc>
          <w:tcPr>
            <w:tcW w:type="pct" w:w="1200"/>
            <w:tcMar>
              <w:top w:type="dxa" w:w="60"/>
              <w:left w:type="dxa" w:w="100"/>
              <w:bottom w:type="dxa" w:w="60"/>
              <w:right w:type="dxa" w:w="100"/>
            </w:tcMar>
          </w:tcPr>
          <w:p>
            <w:pPr>
              <w:spacing w:after="40"/>
            </w:pPr>
            <w:r>
              <w:rPr>
                <w:rFonts w:ascii="Calibri" w:cs="Calibri" w:eastAsia="Calibri" w:hAnsi="Calibri"/>
                <w:sz w:val="19"/>
                <w:szCs w:val="19"/>
              </w:rPr>
              <w:t xml:space="preserve">Kilometervergoeding</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[artikel 6, lid 1, b of f AVG]</w:t>
            </w:r>
          </w:p>
        </w:tc>
        <w:tc>
          <w:tcPr>
            <w:tcW w:type="pct" w:w="23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[De vergoeding hangt af van de werkelijk gereden zakelijke kilometers]</w:t>
            </w:r>
          </w:p>
        </w:tc>
      </w:tr>
      <w:tr>
        <w:tc>
          <w:tcPr>
            <w:tcW w:type="pct" w:w="1200"/>
            <w:tcMar>
              <w:top w:type="dxa" w:w="60"/>
              <w:left w:type="dxa" w:w="100"/>
              <w:bottom w:type="dxa" w:w="60"/>
              <w:right w:type="dxa" w:w="100"/>
            </w:tcMar>
          </w:tcPr>
          <w:p>
            <w:pPr>
              <w:spacing w:after="40"/>
            </w:pPr>
            <w:r>
              <w:rPr>
                <w:rFonts w:ascii="Calibri" w:cs="Calibri" w:eastAsia="Calibri" w:hAnsi="Calibri"/>
                <w:sz w:val="19"/>
                <w:szCs w:val="19"/>
              </w:rPr>
              <w:t xml:space="preserve">Wagenparkbeheer en documenten</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[artikel 6, lid 1, f AVG]</w:t>
            </w:r>
          </w:p>
        </w:tc>
        <w:tc>
          <w:tcPr>
            <w:tcW w:type="pct" w:w="23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[Weten wie met welk voertuig rijdt; vervaldatums niet missen]</w:t>
            </w:r>
          </w:p>
        </w:tc>
      </w:tr>
      <w:tr>
        <w:tc>
          <w:tcPr>
            <w:tcW w:type="pct" w:w="1200"/>
            <w:tcMar>
              <w:top w:type="dxa" w:w="60"/>
              <w:left w:type="dxa" w:w="100"/>
              <w:bottom w:type="dxa" w:w="60"/>
              <w:right w:type="dxa" w:w="100"/>
            </w:tcMar>
          </w:tcPr>
          <w:p>
            <w:pPr>
              <w:spacing w:after="40"/>
            </w:pPr>
            <w:r>
              <w:rPr>
                <w:rFonts w:ascii="Calibri" w:cs="Calibri" w:eastAsia="Calibri" w:hAnsi="Calibri"/>
                <w:sz w:val="19"/>
                <w:szCs w:val="19"/>
              </w:rPr>
              <w:t xml:space="preserve">Onkosten</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[artikel 6, lid 1, b AVG]</w:t>
            </w:r>
          </w:p>
        </w:tc>
        <w:tc>
          <w:tcPr>
            <w:tcW w:type="pct" w:w="23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[De chauffeur vraagt zelf terugbetaling]</w:t>
            </w:r>
          </w:p>
        </w:tc>
      </w:tr>
      <w:tr>
        <w:tc>
          <w:tcPr>
            <w:tcW w:type="pct" w:w="1200"/>
            <w:tcMar>
              <w:top w:type="dxa" w:w="60"/>
              <w:left w:type="dxa" w:w="100"/>
              <w:bottom w:type="dxa" w:w="60"/>
              <w:right w:type="dxa" w:w="100"/>
            </w:tcMar>
          </w:tcPr>
          <w:p>
            <w:pPr>
              <w:spacing w:after="40"/>
            </w:pPr>
            <w:r>
              <w:rPr>
                <w:rFonts w:ascii="Calibri" w:cs="Calibri" w:eastAsia="Calibri" w:hAnsi="Calibri"/>
                <w:sz w:val="19"/>
                <w:szCs w:val="19"/>
              </w:rPr>
              <w:t xml:space="preserve">Verkeersboetes</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artikel 6, lid 1, c AVG (artikel 67ter van de wet betreffende de politie over het wegverkeer). Voor artikel 10 AVG: artikel 10, § 1, 1° van de wet van 30 juli 2018 (beheer van eigen geschillen) </w:t>
            </w:r>
            <w:r>
              <w:rPr>
                <w:rFonts w:ascii="Calibri" w:cs="Calibri" w:eastAsia="Calibri" w:hAnsi="Calibri"/>
                <w:sz w:val="19"/>
                <w:szCs w:val="19"/>
                <w:highlight w:val="yellow"/>
              </w:rPr>
              <w:t xml:space="preserve">[laten bevestigen]</w:t>
            </w:r>
            <w:r>
              <w:rPr>
                <w:rFonts w:ascii="Calibri" w:cs="Calibri" w:eastAsia="Calibri" w:hAnsi="Calibri"/>
                <w:sz w:val="19"/>
                <w:szCs w:val="19"/>
              </w:rPr>
              <w:t xml:space="preserve">, met de lijst en de vertrouwelijkheid van § 2</w:t>
            </w:r>
          </w:p>
        </w:tc>
        <w:tc>
          <w:tcPr>
            <w:tcW w:type="pct" w:w="23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[De bestuurder correct en binnen de termijn aanwijzen]</w:t>
            </w:r>
          </w:p>
        </w:tc>
      </w:tr>
      <w:tr>
        <w:tc>
          <w:tcPr>
            <w:tcW w:type="pct" w:w="1200"/>
            <w:tcMar>
              <w:top w:type="dxa" w:w="60"/>
              <w:left w:type="dxa" w:w="100"/>
              <w:bottom w:type="dxa" w:w="60"/>
              <w:right w:type="dxa" w:w="100"/>
            </w:tcMar>
          </w:tcPr>
          <w:p>
            <w:pPr>
              <w:spacing w:after="40"/>
            </w:pPr>
            <w:r>
              <w:rPr>
                <w:rFonts w:ascii="Calibri" w:cs="Calibri" w:eastAsia="Calibri" w:hAnsi="Calibri"/>
                <w:sz w:val="19"/>
                <w:szCs w:val="19"/>
              </w:rPr>
              <w:t xml:space="preserve">Live posities</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[artikel 6, lid 1, f AVG, alleen als u de functie aanzet]</w:t>
            </w:r>
          </w:p>
        </w:tc>
        <w:tc>
          <w:tcPr>
            <w:tcW w:type="pct" w:w="23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[Bijvoorbeeld: dringende planning, hulp bij pech. Zonder die nood: laat de functie uit]</w:t>
            </w:r>
          </w:p>
        </w:tc>
      </w:tr>
    </w:tbl>
    <w:p>
      <w:pPr>
        <w:spacing w:after="120"/>
      </w:pPr>
    </w:p>
    <w:p>
      <w:pPr>
        <w:spacing w:after="120" w:line="276"/>
      </w:pPr>
      <w:r>
        <w:rPr>
          <w:rFonts w:ascii="Calibri" w:cs="Calibri" w:eastAsia="Calibri" w:hAnsi="Calibri"/>
          <w:b/>
          <w:bCs/>
        </w:rPr>
        <w:t xml:space="preserve">Ingebouwde maatregelen die de verwerking beperken:</w:t>
      </w:r>
    </w:p>
    <w:p>
      <w:pPr>
        <w:pStyle w:val="ListParagraph"/>
        <w:numPr>
          <w:ilvl w:val="0"/>
          <w:numId w:val="2"/>
        </w:numPr>
        <w:spacing w:after="60" w:line="276"/>
      </w:pPr>
      <w:r>
        <w:rPr>
          <w:rFonts w:ascii="Calibri" w:cs="Calibri" w:eastAsia="Calibri" w:hAnsi="Calibri"/>
        </w:rPr>
        <w:t xml:space="preserve">Registratie alleen tussen “Start werkdag” en “Stop werkdag”, met een automatische stop na het gekozen aantal uur (4 tot 14).</w:t>
      </w:r>
    </w:p>
    <w:p>
      <w:pPr>
        <w:pStyle w:val="ListParagraph"/>
        <w:numPr>
          <w:ilvl w:val="0"/>
          <w:numId w:val="2"/>
        </w:numPr>
        <w:spacing w:after="60" w:line="276"/>
      </w:pPr>
      <w:r>
        <w:rPr>
          <w:rFonts w:ascii="Calibri" w:cs="Calibri" w:eastAsia="Calibri" w:hAnsi="Calibri"/>
        </w:rPr>
        <w:t xml:space="preserve">Privéritten: plaatsen, route en klant worden op de server definitief gewist; de databank aanvaardt geen privérit met zulke gegevens.</w:t>
      </w:r>
    </w:p>
    <w:p>
      <w:pPr>
        <w:pStyle w:val="ListParagraph"/>
        <w:numPr>
          <w:ilvl w:val="0"/>
          <w:numId w:val="2"/>
        </w:numPr>
        <w:spacing w:after="60" w:line="276"/>
      </w:pPr>
      <w:r>
        <w:rPr>
          <w:rFonts w:ascii="Calibri" w:cs="Calibri" w:eastAsia="Calibri" w:hAnsi="Calibri"/>
        </w:rPr>
        <w:t xml:space="preserve">Live posities staan standaard uit; aan: hoogstens één per minuut, alleen tijdens een werkdag, na 30 minuten gewist, en meteen gewist als de functie uitgaat. De chauffeur ziet in de app of ze aanstaan.</w:t>
      </w:r>
    </w:p>
    <w:p>
      <w:pPr>
        <w:pStyle w:val="ListParagraph"/>
        <w:numPr>
          <w:ilvl w:val="0"/>
          <w:numId w:val="2"/>
        </w:numPr>
        <w:spacing w:after="60" w:line="276"/>
      </w:pPr>
      <w:r>
        <w:rPr>
          <w:rFonts w:ascii="Calibri" w:cs="Calibri" w:eastAsia="Calibri" w:hAnsi="Calibri"/>
        </w:rPr>
        <w:t xml:space="preserve">De console toont geen snelheid.</w:t>
      </w:r>
    </w:p>
    <w:p>
      <w:pPr>
        <w:pStyle w:val="ListParagraph"/>
        <w:numPr>
          <w:ilvl w:val="0"/>
          <w:numId w:val="2"/>
        </w:numPr>
        <w:spacing w:after="60" w:line="276"/>
      </w:pPr>
      <w:r>
        <w:rPr>
          <w:rFonts w:ascii="Calibri" w:cs="Calibri" w:eastAsia="Calibri" w:hAnsi="Calibri"/>
        </w:rPr>
        <w:t xml:space="preserve">Rollen: een chauffeur ziet alleen zijn eigen gegevens; boetes alleen voor de eigenaar en de beheerders; elke actie in de console wordt gelogd.</w:t>
      </w:r>
    </w:p>
    <w:p>
      <w:pPr>
        <w:pStyle w:val="ListParagraph"/>
        <w:numPr>
          <w:ilvl w:val="0"/>
          <w:numId w:val="2"/>
        </w:numPr>
        <w:spacing w:after="60" w:line="276"/>
      </w:pPr>
      <w:r>
        <w:rPr>
          <w:rFonts w:ascii="Calibri" w:cs="Calibri" w:eastAsia="Calibri" w:hAnsi="Calibri"/>
        </w:rPr>
        <w:t xml:space="preserve">Boetegegevens worden uiterlijk 24 maanden na de overtreding automatisch gewist; de werkgever kan ze eerder wissen.</w:t>
      </w:r>
    </w:p>
    <w:p>
      <w:pPr>
        <w:pStyle w:val="ListParagraph"/>
        <w:numPr>
          <w:ilvl w:val="0"/>
          <w:numId w:val="2"/>
        </w:numPr>
        <w:spacing w:after="60" w:line="276"/>
      </w:pPr>
      <w:r>
        <w:rPr>
          <w:rFonts w:ascii="Calibri" w:cs="Calibri" w:eastAsia="Calibri" w:hAnsi="Calibri"/>
        </w:rPr>
        <w:t xml:space="preserve">Hosting in de EU; versleuteling tijdens transport en opslag; geen rechtstreekse toegang tot de tabellen; uitnodigingen met een eenmalige sleutel.</w:t>
      </w:r>
    </w:p>
    <w:p>
      <w:pPr>
        <w:pStyle w:val="ListParagraph"/>
        <w:numPr>
          <w:ilvl w:val="0"/>
          <w:numId w:val="2"/>
        </w:numPr>
        <w:spacing w:after="60" w:line="276"/>
      </w:pPr>
      <w:r>
        <w:rPr>
          <w:rFonts w:ascii="Calibri" w:cs="Calibri" w:eastAsia="Calibri" w:hAnsi="Calibri"/>
        </w:rPr>
        <w:t xml:space="preserve">De medewerkers van TrapSpotter zien in hun beheerconsole geen ritten, routes, adressen of posities, en kunnen de console van een klant niet openen.</w:t>
      </w:r>
    </w:p>
    <w:p>
      <w:pPr>
        <w:spacing w:after="60"/>
      </w:pPr>
    </w:p>
    <w:p>
      <w:pPr>
        <w:pStyle w:val="Heading1"/>
        <w:keepNext/>
        <w:spacing w:after="120" w:before="280"/>
      </w:pPr>
      <w:r>
        <w:rPr>
          <w:rFonts w:ascii="Calibri" w:cs="Calibri" w:eastAsia="Calibri" w:hAnsi="Calibri"/>
          <w:b/>
          <w:bCs/>
          <w:color w:val="1F1F1F"/>
          <w:sz w:val="26"/>
          <w:szCs w:val="26"/>
        </w:rPr>
        <w:t xml:space="preserve">4. Rechten van de betrokkenen</w:t>
      </w:r>
    </w:p>
    <w:p>
      <w:pPr>
        <w:pStyle w:val="ListParagraph"/>
        <w:numPr>
          <w:ilvl w:val="0"/>
          <w:numId w:val="2"/>
        </w:numPr>
        <w:spacing w:after="60" w:line="276"/>
      </w:pPr>
      <w:r>
        <w:rPr>
          <w:rFonts w:ascii="Calibri" w:cs="Calibri" w:eastAsia="Calibri" w:hAnsi="Calibri"/>
        </w:rPr>
        <w:t xml:space="preserve">Informatie: de informatiebrief voor chauffeurs en het beleid, vóór de eerste werkdag.</w:t>
      </w:r>
    </w:p>
    <w:p>
      <w:pPr>
        <w:pStyle w:val="ListParagraph"/>
        <w:numPr>
          <w:ilvl w:val="0"/>
          <w:numId w:val="2"/>
        </w:numPr>
        <w:spacing w:after="60" w:line="276"/>
      </w:pPr>
      <w:r>
        <w:rPr>
          <w:rFonts w:ascii="Calibri" w:cs="Calibri" w:eastAsia="Calibri" w:hAnsi="Calibri"/>
        </w:rPr>
        <w:t xml:space="preserve">Inzage en kopie: de chauffeur ziet zijn werkdagen, ritten en bonnetjes in de app; de werkgever kan een export maken in de console.</w:t>
      </w:r>
    </w:p>
    <w:p>
      <w:pPr>
        <w:pStyle w:val="ListParagraph"/>
        <w:numPr>
          <w:ilvl w:val="0"/>
          <w:numId w:val="2"/>
        </w:numPr>
        <w:spacing w:after="60" w:line="276"/>
      </w:pPr>
      <w:r>
        <w:rPr>
          <w:rFonts w:ascii="Calibri" w:cs="Calibri" w:eastAsia="Calibri" w:hAnsi="Calibri"/>
        </w:rPr>
        <w:t xml:space="preserve">Verbetering: de chauffeur kan een rit privé maken; de werkgever kan het voertuig, de klant en notities verbeteren.</w:t>
      </w:r>
    </w:p>
    <w:p>
      <w:pPr>
        <w:pStyle w:val="ListParagraph"/>
        <w:numPr>
          <w:ilvl w:val="0"/>
          <w:numId w:val="2"/>
        </w:numPr>
        <w:spacing w:after="60" w:line="276"/>
      </w:pPr>
      <w:r>
        <w:rPr>
          <w:rFonts w:ascii="Calibri" w:cs="Calibri" w:eastAsia="Calibri" w:hAnsi="Calibri"/>
        </w:rPr>
        <w:t xml:space="preserve">Wissing en beperking: op vraag aan de werkgever, die TrapSpotter laat uitvoeren waar de console het niet kan (binnen tien werkdagen).</w:t>
      </w:r>
    </w:p>
    <w:p>
      <w:pPr>
        <w:pStyle w:val="ListParagraph"/>
        <w:numPr>
          <w:ilvl w:val="0"/>
          <w:numId w:val="2"/>
        </w:numPr>
        <w:spacing w:after="60" w:line="276"/>
      </w:pPr>
      <w:r>
        <w:rPr>
          <w:rFonts w:ascii="Calibri" w:cs="Calibri" w:eastAsia="Calibri" w:hAnsi="Calibri"/>
        </w:rPr>
        <w:t xml:space="preserve">Bezwaar: tegen verwerkingen op basis van een gerechtvaardigd belang, te beoordelen door de werkgever.</w:t>
      </w:r>
    </w:p>
    <w:p>
      <w:pPr>
        <w:pStyle w:val="ListParagraph"/>
        <w:numPr>
          <w:ilvl w:val="0"/>
          <w:numId w:val="2"/>
        </w:numPr>
        <w:spacing w:after="60" w:line="276"/>
      </w:pPr>
      <w:r>
        <w:rPr>
          <w:rFonts w:ascii="Calibri" w:cs="Calibri" w:eastAsia="Calibri" w:hAnsi="Calibri"/>
        </w:rPr>
        <w:t xml:space="preserve">Contactpunt: </w:t>
      </w:r>
      <w:r>
        <w:rPr>
          <w:rFonts w:ascii="Calibri" w:cs="Calibri" w:eastAsia="Calibri" w:hAnsi="Calibri"/>
          <w:highlight w:val="yellow"/>
        </w:rPr>
        <w:t xml:space="preserve">[naam, e-mailadres]</w:t>
      </w:r>
      <w:r>
        <w:rPr>
          <w:rFonts w:ascii="Calibri" w:cs="Calibri" w:eastAsia="Calibri" w:hAnsi="Calibri"/>
        </w:rPr>
        <w:t xml:space="preserve">. Klacht: de Gegevensbeschermingsautoriteit (GBA) (www.gegevensbeschermingsautoriteit.be).</w:t>
      </w:r>
    </w:p>
    <w:p>
      <w:pPr>
        <w:spacing w:after="60"/>
      </w:pPr>
    </w:p>
    <w:p>
      <w:pPr>
        <w:pStyle w:val="Heading1"/>
        <w:keepNext/>
        <w:spacing w:after="120" w:before="280"/>
      </w:pPr>
      <w:r>
        <w:rPr>
          <w:rFonts w:ascii="Calibri" w:cs="Calibri" w:eastAsia="Calibri" w:hAnsi="Calibri"/>
          <w:b/>
          <w:bCs/>
          <w:color w:val="1F1F1F"/>
          <w:sz w:val="26"/>
          <w:szCs w:val="26"/>
        </w:rPr>
        <w:t xml:space="preserve">5. Risico’s en maatregelen</w:t>
      </w:r>
    </w:p>
    <w:p>
      <w:pPr>
        <w:spacing w:after="120" w:line="276"/>
      </w:pPr>
      <w:r>
        <w:rPr>
          <w:rFonts w:ascii="Calibri" w:cs="Calibri" w:eastAsia="Calibri" w:hAnsi="Calibri"/>
        </w:rPr>
        <w:t xml:space="preserve">Schaal: waarschijnlijkheid en ernst laag, middel of hoog. De beoordeling vóór maatregelen gaat uit van een volgsysteem zonder de ingebouwde maatregelen. Pas ze aan uw situatie aan.</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06"/>
        <w:gridCol w:w="1349"/>
        <w:gridCol w:w="4241"/>
        <w:gridCol w:w="1542"/>
      </w:tblGrid>
      <w:tr>
        <w:trPr>
          <w:tblHeader/>
        </w:trPr>
        <w:tc>
          <w:tcPr>
            <w:tcW w:type="pct" w:w="13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Risico voor de chauffeurs</w:t>
            </w:r>
          </w:p>
        </w:tc>
        <w:tc>
          <w:tcPr>
            <w:tcW w:type="pct" w:w="7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Vóór maatregelen</w:t>
            </w:r>
          </w:p>
        </w:tc>
        <w:tc>
          <w:tcPr>
            <w:tcW w:type="pct" w:w="22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Maatregelen</w:t>
            </w:r>
          </w:p>
        </w:tc>
        <w:tc>
          <w:tcPr>
            <w:tcW w:type="pct" w:w="8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Restrisico</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Gevolgd worden buiten de werktijd of tijdens privéritten</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Middel / hoog</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Alleen tijdens een werkdag; automatische stop; privéritten gestript; beleid en informatiebrief</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Laag</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Voortdurend toezicht en druk door live posities</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Middel / middel</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Standaard uit; alleen aan bij een echte nood; één positie per minuut; 30 minuten bewaard; zichtbaar voor de chauffeur</w:t>
            </w:r>
          </w:p>
        </w:tc>
        <w:tc>
          <w:tcPr>
            <w:tcW w:type="pct" w:w="8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[Laag]</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Gebruik voor andere doeleinden (prestaties, sancties, snelheid)</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Middel / hoog</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Doelbinding in het beleid; snelheid niet getoond; toegang per rol; logboek</w:t>
            </w:r>
          </w:p>
        </w:tc>
        <w:tc>
          <w:tcPr>
            <w:tcW w:type="pct" w:w="8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[Laag]</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Te ruime toegang binnen het bedrijf</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Middel / middel</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Alleen de nodige beheerders; boetes alleen voor eigenaar en beheerders; logboek</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Laag</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Onjuiste gegevens (GPS, verkeerd voertuig) en daardoor een verkeerde aanwijzing bij een boete</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Middel / hoog</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Voertuigkeuze bij de start; correctie door een beheerder; bevestiging door de chauffeur; controle vóór de aanwijzing</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Laag</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Gevoelige afleidingen uit plaatsen (bijvoorbeeld een bezoek aan een arts tijdens de werkdag)</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Laag / hoog</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Privéritten; korte bewaring; geen analyse van plaatsen</w:t>
            </w:r>
          </w:p>
        </w:tc>
        <w:tc>
          <w:tcPr>
            <w:tcW w:type="pct" w:w="8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[Laag]</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Boetegegevens (artikel 10 AVG) bij onbevoegden</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Laag / hoog</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Beperkte toegang; vertrouwelijkheid; korte bewaring (uiterlijk 24 maanden)</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Laag</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Inbreuk bij TrapSpotter of een subverwerker</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Laag / hoog</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Maatregelen uit bijlage 2 van de verwerkersovereenkomst; hosting in de EU; melding binnen 48 uur</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Laag</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Doorgifte buiten de EER</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Laag / middel</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Opslag in de EU; standaardcontractbepalingen of het EU-VS-gegevensprivacykader bij subverwerkers</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Laag</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Te lange bewaring</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Middel / middel</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Bewaartermijnen in het beleid; wissing op vraag; wissing na het einde van het contract</w:t>
            </w:r>
          </w:p>
        </w:tc>
        <w:tc>
          <w:tcPr>
            <w:tcW w:type="pct" w:w="8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[Hangt af van uw opvolging]</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Chauffeurs kennen hun rechten niet</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Middel / middel</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Informatiebrief, beleid, contactpunt</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Laag</w:t>
            </w:r>
          </w:p>
        </w:tc>
      </w:tr>
    </w:tbl>
    <w:p>
      <w:pPr>
        <w:spacing w:after="120"/>
      </w:pPr>
    </w:p>
    <w:p>
      <w:pPr>
        <w:pStyle w:val="Heading1"/>
        <w:keepNext/>
        <w:spacing w:after="120" w:before="280"/>
      </w:pPr>
      <w:r>
        <w:rPr>
          <w:rFonts w:ascii="Calibri" w:cs="Calibri" w:eastAsia="Calibri" w:hAnsi="Calibri"/>
          <w:b/>
          <w:bCs/>
          <w:color w:val="1F1F1F"/>
          <w:sz w:val="26"/>
          <w:szCs w:val="26"/>
        </w:rPr>
        <w:t xml:space="preserve">6. Raadpleging</w:t>
      </w:r>
    </w:p>
    <w:p>
      <w:pPr>
        <w:spacing w:after="120" w:line="276"/>
      </w:pPr>
      <w:r>
        <w:rPr>
          <w:rFonts w:ascii="Calibri" w:cs="Calibri" w:eastAsia="Calibri" w:hAnsi="Calibri"/>
        </w:rPr>
        <w:t xml:space="preserve">Stel het beleid op in overleg met de werknemers, informeer de ondernemingsraad of de vakbondsafvaardiging, vraag het advies van het comité voor preventie en bescherming op het werk, en voeg hun standpunt toe (artikel 35, lid 9 AVG).</w:t>
      </w:r>
    </w:p>
    <w:p>
      <w:pPr>
        <w:spacing w:after="140"/>
      </w:pPr>
      <w:r>
        <w:rPr>
          <w:rFonts w:ascii="Calibri" w:cs="Calibri" w:eastAsia="Calibri" w:hAnsi="Calibri"/>
        </w:rPr>
        <w:t xml:space="preserve">Advies van de functionaris voor gegevensbescherming (datum, samenvatting): </w:t>
      </w:r>
      <w:r>
        <w:rPr>
          <w:rFonts w:ascii="Calibri" w:cs="Calibri" w:eastAsia="Calibri" w:hAnsi="Calibri"/>
          <w:color w:val="7F7F7F"/>
        </w:rPr>
        <w:t xml:space="preserve">__________</w:t>
      </w:r>
    </w:p>
    <w:p>
      <w:pPr>
        <w:spacing w:after="140"/>
      </w:pPr>
      <w:r>
        <w:rPr>
          <w:rFonts w:ascii="Calibri" w:cs="Calibri" w:eastAsia="Calibri" w:hAnsi="Calibri"/>
        </w:rPr>
        <w:t xml:space="preserve">Standpunt van de chauffeurs of hun vertegenwoordigers (datum, samenvatting): </w:t>
      </w:r>
      <w:r>
        <w:rPr>
          <w:rFonts w:ascii="Calibri" w:cs="Calibri" w:eastAsia="Calibri" w:hAnsi="Calibri"/>
          <w:color w:val="7F7F7F"/>
        </w:rPr>
        <w:t xml:space="preserve">__________</w:t>
      </w:r>
    </w:p>
    <w:p>
      <w:pPr>
        <w:pStyle w:val="Heading1"/>
        <w:keepNext/>
        <w:spacing w:after="120" w:before="280"/>
      </w:pPr>
      <w:r>
        <w:rPr>
          <w:rFonts w:ascii="Calibri" w:cs="Calibri" w:eastAsia="Calibri" w:hAnsi="Calibri"/>
          <w:b/>
          <w:bCs/>
          <w:color w:val="1F1F1F"/>
          <w:sz w:val="26"/>
          <w:szCs w:val="26"/>
        </w:rPr>
        <w:t xml:space="preserve">7. Conclusie</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De restrisico’s zijn aanvaardbaar met de maatregelen hierboven. De verwerking kan starten op </w:t>
      </w:r>
      <w:r>
        <w:rPr>
          <w:rFonts w:ascii="Calibri" w:cs="Calibri" w:eastAsia="Calibri" w:hAnsi="Calibri"/>
          <w:highlight w:val="yellow"/>
        </w:rPr>
        <w:t xml:space="preserve">[datum]</w:t>
      </w:r>
      <w:r>
        <w:rPr>
          <w:rFonts w:ascii="Calibri" w:cs="Calibri" w:eastAsia="Calibri" w:hAnsi="Calibri"/>
        </w:rPr>
        <w:t xml:space="preserve">.</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Er blijft een hoog restrisico. De werkgever raadpleegt de Gegevensbeschermingsautoriteit (GBA) vóór de start (artikel 36 AVG).</w:t>
      </w:r>
    </w:p>
    <w:p>
      <w:pPr>
        <w:spacing w:after="60"/>
      </w:pPr>
    </w:p>
    <w:p>
      <w:pPr>
        <w:spacing w:after="140"/>
      </w:pPr>
      <w:r>
        <w:rPr>
          <w:rFonts w:ascii="Calibri" w:cs="Calibri" w:eastAsia="Calibri" w:hAnsi="Calibri"/>
        </w:rPr>
        <w:t xml:space="preserve">Volgende herziening: </w:t>
      </w:r>
      <w:r>
        <w:rPr>
          <w:rFonts w:ascii="Calibri" w:cs="Calibri" w:eastAsia="Calibri" w:hAnsi="Calibri"/>
          <w:color w:val="7F7F7F"/>
        </w:rPr>
        <w:t xml:space="preserve">_________________________________________</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pct" w:w="5000"/>
            <w:tcBorders>
              <w:top w:val="none"/>
              <w:left w:val="none"/>
              <w:bottom w:val="none"/>
              <w:right w:val="none"/>
            </w:tcBorders>
            <w:tcMar>
              <w:top w:type="dxa" w:w="80"/>
              <w:left w:type="dxa" w:w="0"/>
              <w:bottom w:type="dxa" w:w="80"/>
              <w:right w:type="dxa" w:w="200"/>
            </w:tcMar>
          </w:tcPr>
          <w:p>
            <w:pPr>
              <w:spacing w:after="80"/>
            </w:pPr>
            <w:r>
              <w:rPr>
                <w:rFonts w:ascii="Calibri" w:cs="Calibri" w:eastAsia="Calibri" w:hAnsi="Calibri"/>
                <w:b/>
                <w:bCs/>
              </w:rPr>
              <w:t xml:space="preserve">Voor de verwerkingsverantwoordelijke</w:t>
            </w:r>
          </w:p>
          <w:p>
            <w:pPr>
              <w:spacing w:after="160"/>
            </w:pPr>
            <w:r>
              <w:rPr>
                <w:rFonts w:ascii="Calibri" w:cs="Calibri" w:eastAsia="Calibri" w:hAnsi="Calibri"/>
              </w:rPr>
              <w:t xml:space="preserve">Naam: ________________________</w:t>
            </w:r>
          </w:p>
          <w:p>
            <w:pPr>
              <w:spacing w:after="160"/>
            </w:pPr>
            <w:r>
              <w:rPr>
                <w:rFonts w:ascii="Calibri" w:cs="Calibri" w:eastAsia="Calibri" w:hAnsi="Calibri"/>
              </w:rPr>
              <w:t xml:space="preserve">Functie: ________________________</w:t>
            </w:r>
          </w:p>
          <w:p>
            <w:pPr>
              <w:spacing w:after="160"/>
            </w:pPr>
            <w:r>
              <w:rPr>
                <w:rFonts w:ascii="Calibri" w:cs="Calibri" w:eastAsia="Calibri" w:hAnsi="Calibri"/>
              </w:rPr>
              <w:t xml:space="preserve">Datum: ________________________</w:t>
            </w:r>
          </w:p>
          <w:p>
            <w:pPr>
              <w:spacing w:after="160"/>
            </w:pPr>
            <w:r>
              <w:rPr>
                <w:rFonts w:ascii="Calibri" w:cs="Calibri" w:eastAsia="Calibri" w:hAnsi="Calibri"/>
              </w:rPr>
              <w:t xml:space="preserve">Handtekening: ________________________</w:t>
            </w:r>
          </w:p>
        </w:tc>
      </w:tr>
    </w:tbl>
    <w:p>
      <w:pPr>
        <w:pStyle w:val="Heading1"/>
        <w:keepNext/>
        <w:spacing w:after="120" w:before="280"/>
      </w:pPr>
      <w:r>
        <w:rPr>
          <w:rFonts w:ascii="Calibri" w:cs="Calibri" w:eastAsia="Calibri" w:hAnsi="Calibri"/>
          <w:b/>
          <w:bCs/>
          <w:color w:val="1F1F1F"/>
          <w:sz w:val="26"/>
          <w:szCs w:val="26"/>
        </w:rPr>
        <w:t xml:space="preserve">Bijlage: wettelijke verwijzingen voor België</w:t>
      </w:r>
    </w:p>
    <w:p>
      <w:pPr>
        <w:pStyle w:val="ListParagraph"/>
        <w:numPr>
          <w:ilvl w:val="0"/>
          <w:numId w:val="2"/>
        </w:numPr>
        <w:spacing w:after="60" w:line="276"/>
      </w:pPr>
      <w:r>
        <w:rPr>
          <w:rFonts w:ascii="Calibri" w:cs="Calibri" w:eastAsia="Calibri" w:hAnsi="Calibri"/>
        </w:rPr>
        <w:t xml:space="preserve">Gegevensbeschermingsautoriteit, ‘Geolocalisatie’ (thema privacy op de werkplek): gegevensbeschermingsautoriteit.be; Geschillenkamer, beslissing ten gronde nr. 61/2025 van 25 maart 2025.</w:t>
      </w:r>
    </w:p>
    <w:p>
      <w:pPr>
        <w:pStyle w:val="ListParagraph"/>
        <w:numPr>
          <w:ilvl w:val="0"/>
          <w:numId w:val="2"/>
        </w:numPr>
        <w:spacing w:after="60" w:line="276"/>
      </w:pPr>
      <w:r>
        <w:rPr>
          <w:rFonts w:ascii="Calibri" w:cs="Calibri" w:eastAsia="Calibri" w:hAnsi="Calibri"/>
        </w:rPr>
        <w:t xml:space="preserve">Gegevensbeschermingsautoriteit, beslissing nr. 01/2019 van 16 januari 2019 (lijst van verwerkingen waarvoor een DPIA vereist is), punten 7 tot 9.</w:t>
      </w:r>
    </w:p>
    <w:p>
      <w:pPr>
        <w:pStyle w:val="ListParagraph"/>
        <w:numPr>
          <w:ilvl w:val="0"/>
          <w:numId w:val="2"/>
        </w:numPr>
        <w:spacing w:after="60" w:line="276"/>
      </w:pPr>
      <w:r>
        <w:rPr>
          <w:rFonts w:ascii="Calibri" w:cs="Calibri" w:eastAsia="Calibri" w:hAnsi="Calibri"/>
        </w:rPr>
        <w:t xml:space="preserve">Wet betreffende de politie over het wegverkeer (gecoördineerd op 16 maart 1968), artikelen 29ter, 38, 62bis, 67bis en 67ter (strafmaten zoals gewijzigd door de wet van 25 mei 2026, sinds 1 september 2026).</w:t>
      </w:r>
    </w:p>
    <w:p>
      <w:pPr>
        <w:pStyle w:val="ListParagraph"/>
        <w:numPr>
          <w:ilvl w:val="0"/>
          <w:numId w:val="2"/>
        </w:numPr>
        <w:spacing w:after="60" w:line="276"/>
      </w:pPr>
      <w:r>
        <w:rPr>
          <w:rFonts w:ascii="Calibri" w:cs="Calibri" w:eastAsia="Calibri" w:hAnsi="Calibri"/>
        </w:rPr>
        <w:t xml:space="preserve">Wegcode (koninklijk besluit van 1 december 1975), artikel 8.4 (telefoon tijdens het rijden).</w:t>
      </w:r>
    </w:p>
    <w:p>
      <w:pPr>
        <w:pStyle w:val="ListParagraph"/>
        <w:numPr>
          <w:ilvl w:val="0"/>
          <w:numId w:val="2"/>
        </w:numPr>
        <w:spacing w:after="60" w:line="276"/>
      </w:pPr>
      <w:r>
        <w:rPr>
          <w:rFonts w:ascii="Calibri" w:cs="Calibri" w:eastAsia="Calibri" w:hAnsi="Calibri"/>
        </w:rPr>
        <w:t xml:space="preserve">Wet van 30 juli 2018 betreffende de bescherming van natuurlijke personen met betrekking tot de verwerking van persoonsgegevens, artikel 10.</w:t>
      </w:r>
    </w:p>
    <w:p>
      <w:pPr>
        <w:pStyle w:val="ListParagraph"/>
        <w:numPr>
          <w:ilvl w:val="0"/>
          <w:numId w:val="2"/>
        </w:numPr>
        <w:spacing w:after="60" w:line="276"/>
      </w:pPr>
      <w:r>
        <w:rPr>
          <w:rFonts w:ascii="Calibri" w:cs="Calibri" w:eastAsia="Calibri" w:hAnsi="Calibri"/>
        </w:rPr>
        <w:t xml:space="preserve">Wet van 8 april 1965 tot instelling van de arbeidsreglementen, artikelen 4, 6, 11 en 12; cao nr. 5 (artikel 14), cao nr. 9 (artikel 10) en cao nr. 39; codex welzijn op het werk, artikel II.7-3.</w:t>
      </w:r>
    </w:p>
    <w:p>
      <w:pPr>
        <w:pStyle w:val="ListParagraph"/>
        <w:numPr>
          <w:ilvl w:val="0"/>
          <w:numId w:val="2"/>
        </w:numPr>
        <w:spacing w:after="60" w:line="276"/>
      </w:pPr>
      <w:r>
        <w:rPr>
          <w:rFonts w:ascii="Calibri" w:cs="Calibri" w:eastAsia="Calibri" w:hAnsi="Calibri"/>
        </w:rPr>
        <w:t xml:space="preserve">Kilometervergoeding: omzendbrief nr. 767 van 8 juni 2026 (€0,4761 per kilometer van 1 juli 2026 tot en met 30 juni 2027; jaarsysteem) en nr. 771 (kwartaalsysteem: €0,4452 van 1 oktober tot en met 31 december 2026); circulaire 2026/C/76 van de FOD Financiën; administratieve instructies van de RSZ.</w:t>
      </w:r>
    </w:p>
    <w:p>
      <w:pPr>
        <w:pStyle w:val="ListParagraph"/>
        <w:numPr>
          <w:ilvl w:val="0"/>
          <w:numId w:val="2"/>
        </w:numPr>
        <w:spacing w:after="60" w:line="276"/>
      </w:pPr>
      <w:r>
        <w:rPr>
          <w:rFonts w:ascii="Calibri" w:cs="Calibri" w:eastAsia="Calibri" w:hAnsi="Calibri"/>
        </w:rPr>
        <w:t xml:space="preserve">Verordening (EU) 2016/679 (AVG), artikelen 6, 10, 13, 30 en 35; Hof van Justitie, 22 juni 2021, C-439/19 (verkeersovertredingen vallen onder artikel 10 AVG).</w:t>
      </w:r>
    </w:p>
    <w:p>
      <w:pPr>
        <w:spacing w:after="60"/>
      </w:pP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F7F7F"/>
        <w:sz w:val="16"/>
        <w:szCs w:val="16"/>
      </w:rPr>
      <w:t xml:space="preserve">Gegevensbeschermingseffectbeoordeling (DPIA): TrapSpotter Fleet · Model van TrapSpotter BV · Versie 2026-10 / Version 2026-10  ·  </w:t>
    </w:r>
    <w:r>
      <w:rPr>
        <w:rFonts w:ascii="Calibri" w:cs="Calibri" w:eastAsia="Calibri" w:hAnsi="Calibri"/>
        <w:color w:val="7F7F7F"/>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Gegevensbeschermingseffectbeoordeling (DPIA): TrapSpotter Fleet</dc:title>
  <dc:creator>TrapSpotter BV</dc:creator>
  <dc:description>Model van TrapSpotter BV voor klanten van TrapSpotter Fleet (België)</dc:description>
  <cp:lastModifiedBy>Un-named</cp:lastModifiedBy>
  <cp:revision>1</cp:revision>
  <dcterms:created xsi:type="dcterms:W3CDTF">2026-10-08T23:12:48.866Z</dcterms:created>
  <dcterms:modified xsi:type="dcterms:W3CDTF">2026-10-08T23:12:48.866Z</dcterms:modified>
</cp:coreProperties>
</file>

<file path=docProps/custom.xml><?xml version="1.0" encoding="utf-8"?>
<Properties xmlns="http://schemas.openxmlformats.org/officeDocument/2006/custom-properties" xmlns:vt="http://schemas.openxmlformats.org/officeDocument/2006/docPropsVTypes"/>
</file>