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Data protection impact assessment (DPIA):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Template by TrapSpotter BV, pre-filled for the Fleet plan · Article 35 GDPR · Belgium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For the employer</w:t>
            </w:r>
          </w:p>
          <w:p>
            <w:pPr>
              <w:pStyle w:val="ListParagraph"/>
              <w:numPr>
                <w:ilvl w:val="0"/>
                <w:numId w:val="2"/>
              </w:numPr>
              <w:spacing w:after="60"/>
            </w:pPr>
            <w:r>
              <w:rPr>
                <w:rFonts w:ascii="Calibri" w:cs="Calibri" w:eastAsia="Calibri" w:hAnsi="Calibri"/>
              </w:rPr>
              <w:t xml:space="preserve">TrapSpotter BV has filled in what the service does. You add what depends on your company (yellow fields), assess the risks for your situation, seek the advice of your data protection officer if you have one, and sign.</w:t>
            </w:r>
          </w:p>
          <w:p>
            <w:pPr>
              <w:pStyle w:val="ListParagraph"/>
              <w:numPr>
                <w:ilvl w:val="0"/>
                <w:numId w:val="2"/>
              </w:numPr>
              <w:spacing w:after="60"/>
            </w:pPr>
            <w:r>
              <w:rPr>
                <w:rFonts w:ascii="Calibri" w:cs="Calibri" w:eastAsia="Calibri" w:hAnsi="Calibri"/>
              </w:rPr>
              <w:t xml:space="preserve">Carry out the DPIA before the first workday and keep it: the Belgian Data Protection Authority (GBA) may ask for it.</w:t>
            </w:r>
          </w:p>
          <w:p>
            <w:pPr>
              <w:pStyle w:val="ListParagraph"/>
              <w:numPr>
                <w:ilvl w:val="0"/>
                <w:numId w:val="2"/>
              </w:numPr>
              <w:spacing w:after="60"/>
            </w:pPr>
            <w:r>
              <w:rPr>
                <w:rFonts w:ascii="Calibri" w:cs="Calibri" w:eastAsia="Calibri" w:hAnsi="Calibri"/>
              </w:rPr>
              <w:t xml:space="preserve">Review the DPIA whenever your use or the service changes, and at least </w:t>
            </w:r>
            <w:r>
              <w:rPr>
                <w:rFonts w:ascii="Calibri" w:cs="Calibri" w:eastAsia="Calibri" w:hAnsi="Calibri"/>
                <w:highlight w:val="yellow"/>
              </w:rPr>
              <w:t xml:space="preserve">[annually]</w:t>
            </w:r>
            <w:r>
              <w:rPr>
                <w:rFonts w:ascii="Calibri" w:cs="Calibri" w:eastAsia="Calibri" w:hAnsi="Calibri"/>
              </w:rPr>
              <w:t xml:space="preserve">.</w:t>
            </w:r>
          </w:p>
        </w:tc>
      </w:tr>
    </w:tbl>
    <w:p>
      <w:pPr>
        <w:spacing w:after="120"/>
      </w:pPr>
    </w:p>
    <w:p>
      <w:pPr>
        <w:spacing w:after="140"/>
      </w:pPr>
      <w:r>
        <w:rPr>
          <w:rFonts w:ascii="Calibri" w:cs="Calibri" w:eastAsia="Calibri" w:hAnsi="Calibri"/>
        </w:rPr>
        <w:t xml:space="preserve">Controller (company, address): </w:t>
      </w:r>
      <w:r>
        <w:rPr>
          <w:rFonts w:ascii="Calibri" w:cs="Calibri" w:eastAsia="Calibri" w:hAnsi="Calibri"/>
          <w:color w:val="7F7F7F"/>
        </w:rPr>
        <w:t xml:space="preserve">_______________________________</w:t>
      </w:r>
    </w:p>
    <w:p>
      <w:pPr>
        <w:spacing w:after="140"/>
      </w:pPr>
      <w:r>
        <w:rPr>
          <w:rFonts w:ascii="Calibri" w:cs="Calibri" w:eastAsia="Calibri" w:hAnsi="Calibri"/>
        </w:rPr>
        <w:t xml:space="preserve">Contact person: </w:t>
      </w:r>
      <w:r>
        <w:rPr>
          <w:rFonts w:ascii="Calibri" w:cs="Calibri" w:eastAsia="Calibri" w:hAnsi="Calibri"/>
          <w:color w:val="7F7F7F"/>
        </w:rPr>
        <w:t xml:space="preserve">______________________________________________</w:t>
      </w:r>
    </w:p>
    <w:p>
      <w:pPr>
        <w:spacing w:after="140"/>
      </w:pPr>
      <w:r>
        <w:rPr>
          <w:rFonts w:ascii="Calibri" w:cs="Calibri" w:eastAsia="Calibri" w:hAnsi="Calibri"/>
        </w:rPr>
        <w:t xml:space="preserve">Data protection officer (if designated): </w:t>
      </w:r>
      <w:r>
        <w:rPr>
          <w:rFonts w:ascii="Calibri" w:cs="Calibri" w:eastAsia="Calibri" w:hAnsi="Calibri"/>
          <w:color w:val="7F7F7F"/>
        </w:rPr>
        <w:t xml:space="preserve">_____________________</w:t>
      </w:r>
    </w:p>
    <w:p>
      <w:pPr>
        <w:spacing w:after="140"/>
      </w:pPr>
      <w:r>
        <w:rPr>
          <w:rFonts w:ascii="Calibri" w:cs="Calibri" w:eastAsia="Calibri" w:hAnsi="Calibri"/>
        </w:rPr>
        <w:t xml:space="preserve">Date of this DPIA: </w:t>
      </w:r>
      <w:r>
        <w:rPr>
          <w:rFonts w:ascii="Calibri" w:cs="Calibri" w:eastAsia="Calibri" w:hAnsi="Calibri"/>
          <w:color w:val="7F7F7F"/>
        </w:rPr>
        <w:t xml:space="preserve">___________________________________________</w:t>
      </w:r>
    </w:p>
    <w:p>
      <w:pPr>
        <w:spacing w:after="140"/>
      </w:pPr>
      <w:r>
        <w:rPr>
          <w:rFonts w:ascii="Calibri" w:cs="Calibri" w:eastAsia="Calibri" w:hAnsi="Calibri"/>
        </w:rPr>
        <w:t xml:space="preserve">Version: </w:t>
      </w:r>
      <w:r>
        <w:rPr>
          <w:rFonts w:ascii="Calibri" w:cs="Calibri" w:eastAsia="Calibri" w:hAnsi="Calibri"/>
          <w:color w:val="7F7F7F"/>
        </w:rPr>
        <w:t xml:space="preserve">_____________________________________________________</w:t>
      </w:r>
    </w:p>
    <w:p>
      <w:pPr>
        <w:pStyle w:val="Heading1"/>
        <w:keepNext/>
        <w:spacing w:after="120" w:before="280"/>
      </w:pPr>
      <w:r>
        <w:rPr>
          <w:rFonts w:ascii="Calibri" w:cs="Calibri" w:eastAsia="Calibri" w:hAnsi="Calibri"/>
          <w:b/>
          <w:bCs/>
          <w:color w:val="1F1F1F"/>
          <w:sz w:val="26"/>
          <w:szCs w:val="26"/>
        </w:rPr>
        <w:t xml:space="preserve">1. Is a DPIA mandatory?</w:t>
      </w:r>
    </w:p>
    <w:p>
      <w:pPr>
        <w:spacing w:after="120" w:line="276"/>
      </w:pPr>
      <w:r>
        <w:rPr>
          <w:rFonts w:ascii="Calibri" w:cs="Calibri" w:eastAsia="Calibri" w:hAnsi="Calibri"/>
          <w:b/>
          <w:bCs/>
        </w:rPr>
        <w:t xml:space="preserve">In our assessment: yes, for Fleet.</w:t>
      </w:r>
      <w:r>
        <w:rPr>
          <w:rFonts w:ascii="Calibri" w:cs="Calibri" w:eastAsia="Calibri" w:hAnsi="Calibri"/>
        </w:rPr>
        <w:t xml:space="preserve"> The list of the Data Protection Authority (decision No 01/2019 of 16 January 2019) mentions the large-scale or systematic processing of location data that is not strictly necessary for a service requested by the data subject (point 7), and the systematic observation of behaviour through automated processing (point 8). The list does not mention employees separately, but it is not exhaustive (point 9).</w:t>
      </w:r>
    </w:p>
    <w:p>
      <w:pPr>
        <w:spacing w:after="120" w:line="276"/>
      </w:pPr>
      <w:r>
        <w:rPr>
          <w:rFonts w:ascii="Calibri" w:cs="Calibri" w:eastAsia="Calibri" w:hAnsi="Calibri"/>
        </w:rPr>
        <w:t xml:space="preserve">According to the guidelines of the European supervisory authorities (WP 248), two criteria are usually sufficient; here, the processing involves systematic monitoring, location data, employees as vulnerable data subjects and, with the fines, data relating to criminal offences.</w:t>
      </w:r>
    </w:p>
    <w:p>
      <w:pPr>
        <w:spacing w:after="120" w:line="276"/>
      </w:pPr>
      <w:r>
        <w:rPr>
          <w:rFonts w:ascii="Calibri" w:cs="Calibri" w:eastAsia="Calibri" w:hAnsi="Calibri"/>
          <w:b/>
          <w:bCs/>
        </w:rPr>
        <w:t xml:space="preserve">TrapSpotter Teams.</w:t>
      </w:r>
      <w:r>
        <w:rPr>
          <w:rFonts w:ascii="Calibri" w:cs="Calibri" w:eastAsia="Calibri" w:hAnsi="Calibri"/>
        </w:rPr>
        <w:t xml:space="preserve"> Teams does not record workdays, trips or positions; the employer only manages seats (name, email address and the data that the employer enters itself). That processing is not on the supervisory authority’s list and, in our assessment, meets only the ‘employees’ criterion of the guidelines of the European supervisory authorities (WP 248), not two criteria. A DPIA is therefore in principle not mandatory for Teams; do, however, include the processing in your record of processing activities (Article 30 GDPR).</w:t>
      </w:r>
    </w:p>
    <w:p>
      <w:pPr>
        <w:pStyle w:val="Heading1"/>
        <w:keepNext/>
        <w:spacing w:after="120" w:before="280"/>
      </w:pPr>
      <w:r>
        <w:rPr>
          <w:rFonts w:ascii="Calibri" w:cs="Calibri" w:eastAsia="Calibri" w:hAnsi="Calibri"/>
          <w:b/>
          <w:bCs/>
          <w:color w:val="1F1F1F"/>
          <w:sz w:val="26"/>
          <w:szCs w:val="26"/>
        </w:rPr>
        <w:t xml:space="preserve">2. Description of the processing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9"/>
        <w:gridCol w:w="6939"/>
      </w:tblGrid>
      <w:tr>
        <w:trPr>
          <w:tblHeader/>
        </w:trPr>
        <w:tc>
          <w:tcPr>
            <w:tcW w:type="pct" w:w="14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Item</w:t>
            </w:r>
          </w:p>
        </w:tc>
        <w:tc>
          <w:tcPr>
            <w:tcW w:type="pct" w:w="36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Description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Controller</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[Company name, address, company number]</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Processor</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TrapSpotter BV (Trekschurenstraat 245, 3500 Hasselt, Belgium, enterprise number 1031.603.017) (data processing agreement attached to the business terms)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Data subjects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Drivers: </w:t>
            </w:r>
            <w:r>
              <w:rPr>
                <w:rFonts w:ascii="Calibri" w:cs="Calibri" w:eastAsia="Calibri" w:hAnsi="Calibri"/>
                <w:sz w:val="19"/>
                <w:szCs w:val="19"/>
                <w:highlight w:val="yellow"/>
              </w:rPr>
              <w:t xml:space="preserve">[number]</w:t>
            </w:r>
            <w:r>
              <w:rPr>
                <w:rFonts w:ascii="Calibri" w:cs="Calibri" w:eastAsia="Calibri" w:hAnsi="Calibri"/>
                <w:sz w:val="19"/>
                <w:szCs w:val="19"/>
              </w:rPr>
              <w:t xml:space="preserve"> employees and other workers whom the company invites; owners and administrators; contact persons at customers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Purposes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[Copy the purposes that you ticked in the policy]</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Means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The TrapSpotter app (iOS, Android) on the driver’s phone </w:t>
            </w:r>
            <w:r>
              <w:rPr>
                <w:rFonts w:ascii="Calibri" w:cs="Calibri" w:eastAsia="Calibri" w:hAnsi="Calibri"/>
                <w:sz w:val="19"/>
                <w:szCs w:val="19"/>
                <w:highlight w:val="yellow"/>
              </w:rPr>
              <w:t xml:space="preserve">[own phone / company phone]</w:t>
            </w:r>
            <w:r>
              <w:rPr>
                <w:rFonts w:ascii="Calibri" w:cs="Calibri" w:eastAsia="Calibri" w:hAnsi="Calibri"/>
                <w:sz w:val="19"/>
                <w:szCs w:val="19"/>
              </w:rPr>
              <w:t xml:space="preserve">; the console at fleet.trapspotter.com</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Storage</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Supabase, AWS region eu-north-1 (Stockholm, Sweden); TrapSpotter’s own servers at Hetzner (Falkenstein, Germany). Sub-processors: Annex 3 to the data processing agreement</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Recipients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[Names or positions]</w:t>
            </w:r>
            <w:r>
              <w:rPr>
                <w:rFonts w:ascii="Calibri" w:cs="Calibri" w:eastAsia="Calibri" w:hAnsi="Calibri"/>
                <w:sz w:val="19"/>
                <w:szCs w:val="19"/>
              </w:rPr>
              <w:t xml:space="preserve"> in the console; TrapSpotter BV and its sub-processors; </w:t>
            </w:r>
            <w:r>
              <w:rPr>
                <w:rFonts w:ascii="Calibri" w:cs="Calibri" w:eastAsia="Calibri" w:hAnsi="Calibri"/>
                <w:sz w:val="19"/>
                <w:szCs w:val="19"/>
                <w:highlight w:val="yellow"/>
              </w:rPr>
              <w:t xml:space="preserve">[payroll provider, accountant]</w:t>
            </w:r>
          </w:p>
        </w:tc>
      </w:tr>
    </w:tbl>
    <w:p>
      <w:pPr>
        <w:spacing w:after="120"/>
      </w:pPr>
    </w:p>
    <w:p>
      <w:pPr>
        <w:spacing w:after="120" w:line="276"/>
      </w:pPr>
      <w:r>
        <w:rPr>
          <w:rFonts w:ascii="Calibri" w:cs="Calibri" w:eastAsia="Calibri" w:hAnsi="Calibri"/>
          <w:b/>
          <w:bCs/>
        </w:rPr>
        <w:t xml:space="preserve">Data by feature: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35"/>
        <w:gridCol w:w="3855"/>
        <w:gridCol w:w="1928"/>
        <w:gridCol w:w="2120"/>
      </w:tblGrid>
      <w:tr>
        <w:trPr>
          <w:tblHeader/>
        </w:trPr>
        <w:tc>
          <w:tcPr>
            <w:tcW w:type="pct" w:w="9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Feature</w:t>
            </w:r>
          </w:p>
        </w:tc>
        <w:tc>
          <w:tcPr>
            <w:tcW w:type="pct" w:w="2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Data</w:t>
            </w:r>
          </w:p>
        </w:tc>
        <w:tc>
          <w:tcPr>
            <w:tcW w:type="pct" w:w="1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When</w:t>
            </w:r>
          </w:p>
        </w:tc>
        <w:tc>
          <w:tcPr>
            <w:tcW w:type="pct" w:w="11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Retention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Members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Name, email address, phone, position, staff number, notes, role, status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On invitation</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As long as necessary; no later than the end of the contract</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Workdays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Start, end, reason for the end, vehicle or own car</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From start to stop of the workday</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Trips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Times, start and end location, route, distance, customer, vehicle, note. Private trip: only time and distance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During the workday</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Live positions (optional)</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Position, heading, speed according to the phone (speed not shown), time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During the workday, if the feature is switched on; max. 1 per minute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30 minutes; immediately when switched off</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Customers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Name, address, contact person, phone, note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Entered by administrators</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Vehicles and documents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Number plate, make, model, odometer reading, assigned driver; document, reference, expiry date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Entered by administrators</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Until deletion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Receipts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Date, type, merchant, amount, VAT, litres, photo, decision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Submitted by the driver</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Fines (Article 10 GDPR)</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Number plate, date, time and place of the offence, reference, time limit, status, trip and driver found, driver’s answer</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When the company receives a fine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No later than 24 months after the offence</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Mileage statement</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Calculated from workdays and trips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On request</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Not stored separately</w:t>
            </w:r>
          </w:p>
        </w:tc>
      </w:tr>
    </w:tbl>
    <w:p>
      <w:pPr>
        <w:spacing w:after="120"/>
      </w:pPr>
    </w:p>
    <w:p>
      <w:pPr>
        <w:pStyle w:val="Heading1"/>
        <w:keepNext/>
        <w:spacing w:after="120" w:before="280"/>
      </w:pPr>
      <w:r>
        <w:rPr>
          <w:rFonts w:ascii="Calibri" w:cs="Calibri" w:eastAsia="Calibri" w:hAnsi="Calibri"/>
          <w:b/>
          <w:bCs/>
          <w:color w:val="1F1F1F"/>
          <w:sz w:val="26"/>
          <w:szCs w:val="26"/>
        </w:rPr>
        <w:t xml:space="preserve">3. Legal basis, necessity and proportionality</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891"/>
        <w:gridCol w:w="4433"/>
      </w:tblGrid>
      <w:tr>
        <w:trPr>
          <w:tblHeader/>
        </w:trPr>
        <w:tc>
          <w:tcPr>
            <w:tcW w:type="pct" w:w="1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Purpose</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Legal basis (fill in)</w:t>
            </w:r>
          </w:p>
        </w:tc>
        <w:tc>
          <w:tcPr>
            <w:tcW w:type="pct" w:w="2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Why necessary, and why nothing less intrusive</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Working time and work trips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6(1)(f) GDPR (legitimate interest); or (c), if your law requires working time to be recorded]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[For example: evidence of work performed for customers; paper trip logs are incomplete and take time]</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Mileage allowance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6(1)(b) or (f) GDPR]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[The allowance depends on the business kilometres actually driven]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Fleet management and documents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6(1)(f) GDPR]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[Knowing who drives which vehicle; not missing expiry dates]</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Expenses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6(1)(b) GDPR]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[The driver requests reimbursement]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Traffic fines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Article 6(1)(c) GDPR (Article 67ter of the wet betreffende de politie over het wegverkeer, the Road Traffic Act). For Article 10 GDPR: Article 10, § 1, 1° of the Act of 30 July 2018 (management of own disputes) </w:t>
            </w:r>
            <w:r>
              <w:rPr>
                <w:rFonts w:ascii="Calibri" w:cs="Calibri" w:eastAsia="Calibri" w:hAnsi="Calibri"/>
                <w:sz w:val="19"/>
                <w:szCs w:val="19"/>
                <w:highlight w:val="yellow"/>
              </w:rPr>
              <w:t xml:space="preserve">[have this confirmed]</w:t>
            </w:r>
            <w:r>
              <w:rPr>
                <w:rFonts w:ascii="Calibri" w:cs="Calibri" w:eastAsia="Calibri" w:hAnsi="Calibri"/>
                <w:sz w:val="19"/>
                <w:szCs w:val="19"/>
              </w:rPr>
              <w:t xml:space="preserve">, with the list and the confidentiality of § 2</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[Designating the driver correctly and within the time limit]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Live positions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6(1)(f) GDPR, only if you switch the feature on]</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[For example: urgent planning, assistance in the event of a breakdown. Without such a need: leave the feature off]</w:t>
            </w:r>
          </w:p>
        </w:tc>
      </w:tr>
    </w:tbl>
    <w:p>
      <w:pPr>
        <w:spacing w:after="120"/>
      </w:pPr>
    </w:p>
    <w:p>
      <w:pPr>
        <w:spacing w:after="120" w:line="276"/>
      </w:pPr>
      <w:r>
        <w:rPr>
          <w:rFonts w:ascii="Calibri" w:cs="Calibri" w:eastAsia="Calibri" w:hAnsi="Calibri"/>
          <w:b/>
          <w:bCs/>
        </w:rPr>
        <w:t xml:space="preserve">Built-in measures that limit the processing:</w:t>
      </w:r>
    </w:p>
    <w:p>
      <w:pPr>
        <w:pStyle w:val="ListParagraph"/>
        <w:numPr>
          <w:ilvl w:val="0"/>
          <w:numId w:val="2"/>
        </w:numPr>
        <w:spacing w:after="60" w:line="276"/>
      </w:pPr>
      <w:r>
        <w:rPr>
          <w:rFonts w:ascii="Calibri" w:cs="Calibri" w:eastAsia="Calibri" w:hAnsi="Calibri"/>
        </w:rPr>
        <w:t xml:space="preserve">Recording only between “Start workday” and “Stop workday”, with an automatic stop after the chosen number of hours (4 to 14).</w:t>
      </w:r>
    </w:p>
    <w:p>
      <w:pPr>
        <w:pStyle w:val="ListParagraph"/>
        <w:numPr>
          <w:ilvl w:val="0"/>
          <w:numId w:val="2"/>
        </w:numPr>
        <w:spacing w:after="60" w:line="276"/>
      </w:pPr>
      <w:r>
        <w:rPr>
          <w:rFonts w:ascii="Calibri" w:cs="Calibri" w:eastAsia="Calibri" w:hAnsi="Calibri"/>
        </w:rPr>
        <w:t xml:space="preserve">Private trips: places, route and customer are permanently deleted on the server; the database does not accept a private trip containing such data.</w:t>
      </w:r>
    </w:p>
    <w:p>
      <w:pPr>
        <w:pStyle w:val="ListParagraph"/>
        <w:numPr>
          <w:ilvl w:val="0"/>
          <w:numId w:val="2"/>
        </w:numPr>
        <w:spacing w:after="60" w:line="276"/>
      </w:pPr>
      <w:r>
        <w:rPr>
          <w:rFonts w:ascii="Calibri" w:cs="Calibri" w:eastAsia="Calibri" w:hAnsi="Calibri"/>
        </w:rPr>
        <w:t xml:space="preserve">Live positions are off by default; when on: at most one per minute, only during a workday, deleted after 30 minutes, and deleted immediately when the feature is switched off. The driver sees in the app whether they are switched on.</w:t>
      </w:r>
    </w:p>
    <w:p>
      <w:pPr>
        <w:pStyle w:val="ListParagraph"/>
        <w:numPr>
          <w:ilvl w:val="0"/>
          <w:numId w:val="2"/>
        </w:numPr>
        <w:spacing w:after="60" w:line="276"/>
      </w:pPr>
      <w:r>
        <w:rPr>
          <w:rFonts w:ascii="Calibri" w:cs="Calibri" w:eastAsia="Calibri" w:hAnsi="Calibri"/>
        </w:rPr>
        <w:t xml:space="preserve">The console does not show speed.</w:t>
      </w:r>
    </w:p>
    <w:p>
      <w:pPr>
        <w:pStyle w:val="ListParagraph"/>
        <w:numPr>
          <w:ilvl w:val="0"/>
          <w:numId w:val="2"/>
        </w:numPr>
        <w:spacing w:after="60" w:line="276"/>
      </w:pPr>
      <w:r>
        <w:rPr>
          <w:rFonts w:ascii="Calibri" w:cs="Calibri" w:eastAsia="Calibri" w:hAnsi="Calibri"/>
        </w:rPr>
        <w:t xml:space="preserve">Roles: a driver sees only their own data; fines only for the owner and the administrators; every action in the console is logged.</w:t>
      </w:r>
    </w:p>
    <w:p>
      <w:pPr>
        <w:pStyle w:val="ListParagraph"/>
        <w:numPr>
          <w:ilvl w:val="0"/>
          <w:numId w:val="2"/>
        </w:numPr>
        <w:spacing w:after="60" w:line="276"/>
      </w:pPr>
      <w:r>
        <w:rPr>
          <w:rFonts w:ascii="Calibri" w:cs="Calibri" w:eastAsia="Calibri" w:hAnsi="Calibri"/>
        </w:rPr>
        <w:t xml:space="preserve">Fines data are automatically deleted no later than 24 months after the offence; the employer can delete them earlier.</w:t>
      </w:r>
    </w:p>
    <w:p>
      <w:pPr>
        <w:pStyle w:val="ListParagraph"/>
        <w:numPr>
          <w:ilvl w:val="0"/>
          <w:numId w:val="2"/>
        </w:numPr>
        <w:spacing w:after="60" w:line="276"/>
      </w:pPr>
      <w:r>
        <w:rPr>
          <w:rFonts w:ascii="Calibri" w:cs="Calibri" w:eastAsia="Calibri" w:hAnsi="Calibri"/>
        </w:rPr>
        <w:t xml:space="preserve">Hosting in the EU; encryption in transit and at rest; no direct access to the tables; invitations with a single-use key.</w:t>
      </w:r>
    </w:p>
    <w:p>
      <w:pPr>
        <w:pStyle w:val="ListParagraph"/>
        <w:numPr>
          <w:ilvl w:val="0"/>
          <w:numId w:val="2"/>
        </w:numPr>
        <w:spacing w:after="60" w:line="276"/>
      </w:pPr>
      <w:r>
        <w:rPr>
          <w:rFonts w:ascii="Calibri" w:cs="Calibri" w:eastAsia="Calibri" w:hAnsi="Calibri"/>
        </w:rPr>
        <w:t xml:space="preserve">TrapSpotter staff do not see any trips, routes, addresses or positions in their admin console, and cannot open a customer’s console.</w:t>
      </w:r>
    </w:p>
    <w:p>
      <w:pPr>
        <w:spacing w:after="60"/>
      </w:pPr>
    </w:p>
    <w:p>
      <w:pPr>
        <w:pStyle w:val="Heading1"/>
        <w:keepNext/>
        <w:spacing w:after="120" w:before="280"/>
      </w:pPr>
      <w:r>
        <w:rPr>
          <w:rFonts w:ascii="Calibri" w:cs="Calibri" w:eastAsia="Calibri" w:hAnsi="Calibri"/>
          <w:b/>
          <w:bCs/>
          <w:color w:val="1F1F1F"/>
          <w:sz w:val="26"/>
          <w:szCs w:val="26"/>
        </w:rPr>
        <w:t xml:space="preserve">4. Rights of the data subjects</w:t>
      </w:r>
    </w:p>
    <w:p>
      <w:pPr>
        <w:pStyle w:val="ListParagraph"/>
        <w:numPr>
          <w:ilvl w:val="0"/>
          <w:numId w:val="2"/>
        </w:numPr>
        <w:spacing w:after="60" w:line="276"/>
      </w:pPr>
      <w:r>
        <w:rPr>
          <w:rFonts w:ascii="Calibri" w:cs="Calibri" w:eastAsia="Calibri" w:hAnsi="Calibri"/>
        </w:rPr>
        <w:t xml:space="preserve">Information: the information letter for drivers and the policy, before the first workday.</w:t>
      </w:r>
    </w:p>
    <w:p>
      <w:pPr>
        <w:pStyle w:val="ListParagraph"/>
        <w:numPr>
          <w:ilvl w:val="0"/>
          <w:numId w:val="2"/>
        </w:numPr>
        <w:spacing w:after="60" w:line="276"/>
      </w:pPr>
      <w:r>
        <w:rPr>
          <w:rFonts w:ascii="Calibri" w:cs="Calibri" w:eastAsia="Calibri" w:hAnsi="Calibri"/>
        </w:rPr>
        <w:t xml:space="preserve">Access and copy: the driver sees their workdays, trips and receipts in the app; the employer can create an export in the console.</w:t>
      </w:r>
    </w:p>
    <w:p>
      <w:pPr>
        <w:pStyle w:val="ListParagraph"/>
        <w:numPr>
          <w:ilvl w:val="0"/>
          <w:numId w:val="2"/>
        </w:numPr>
        <w:spacing w:after="60" w:line="276"/>
      </w:pPr>
      <w:r>
        <w:rPr>
          <w:rFonts w:ascii="Calibri" w:cs="Calibri" w:eastAsia="Calibri" w:hAnsi="Calibri"/>
        </w:rPr>
        <w:t xml:space="preserve">Rectification: the driver can make a trip private; the employer can correct the vehicle, the customer and notes.</w:t>
      </w:r>
    </w:p>
    <w:p>
      <w:pPr>
        <w:pStyle w:val="ListParagraph"/>
        <w:numPr>
          <w:ilvl w:val="0"/>
          <w:numId w:val="2"/>
        </w:numPr>
        <w:spacing w:after="60" w:line="276"/>
      </w:pPr>
      <w:r>
        <w:rPr>
          <w:rFonts w:ascii="Calibri" w:cs="Calibri" w:eastAsia="Calibri" w:hAnsi="Calibri"/>
        </w:rPr>
        <w:t xml:space="preserve">Erasure and restriction: on request to the employer, who has TrapSpotter carry it out where the console cannot (within ten working days).</w:t>
      </w:r>
    </w:p>
    <w:p>
      <w:pPr>
        <w:pStyle w:val="ListParagraph"/>
        <w:numPr>
          <w:ilvl w:val="0"/>
          <w:numId w:val="2"/>
        </w:numPr>
        <w:spacing w:after="60" w:line="276"/>
      </w:pPr>
      <w:r>
        <w:rPr>
          <w:rFonts w:ascii="Calibri" w:cs="Calibri" w:eastAsia="Calibri" w:hAnsi="Calibri"/>
        </w:rPr>
        <w:t xml:space="preserve">Objection: to processing based on a legitimate interest, to be assessed by the employer.</w:t>
      </w:r>
    </w:p>
    <w:p>
      <w:pPr>
        <w:pStyle w:val="ListParagraph"/>
        <w:numPr>
          <w:ilvl w:val="0"/>
          <w:numId w:val="2"/>
        </w:numPr>
        <w:spacing w:after="60" w:line="276"/>
      </w:pPr>
      <w:r>
        <w:rPr>
          <w:rFonts w:ascii="Calibri" w:cs="Calibri" w:eastAsia="Calibri" w:hAnsi="Calibri"/>
        </w:rPr>
        <w:t xml:space="preserve">Contact point: </w:t>
      </w:r>
      <w:r>
        <w:rPr>
          <w:rFonts w:ascii="Calibri" w:cs="Calibri" w:eastAsia="Calibri" w:hAnsi="Calibri"/>
          <w:highlight w:val="yellow"/>
        </w:rPr>
        <w:t xml:space="preserve">[name, email address]</w:t>
      </w:r>
      <w:r>
        <w:rPr>
          <w:rFonts w:ascii="Calibri" w:cs="Calibri" w:eastAsia="Calibri" w:hAnsi="Calibri"/>
        </w:rPr>
        <w:t xml:space="preserve">. Complaint: the Belgian Data Protection Authority (GBA) (www.gegevensbeschermingsautoriteit.be).</w:t>
      </w:r>
    </w:p>
    <w:p>
      <w:pPr>
        <w:spacing w:after="60"/>
      </w:pPr>
    </w:p>
    <w:p>
      <w:pPr>
        <w:pStyle w:val="Heading1"/>
        <w:keepNext/>
        <w:spacing w:after="120" w:before="280"/>
      </w:pPr>
      <w:r>
        <w:rPr>
          <w:rFonts w:ascii="Calibri" w:cs="Calibri" w:eastAsia="Calibri" w:hAnsi="Calibri"/>
          <w:b/>
          <w:bCs/>
          <w:color w:val="1F1F1F"/>
          <w:sz w:val="26"/>
          <w:szCs w:val="26"/>
        </w:rPr>
        <w:t xml:space="preserve">5. Risks and measures</w:t>
      </w:r>
    </w:p>
    <w:p>
      <w:pPr>
        <w:spacing w:after="120" w:line="276"/>
      </w:pPr>
      <w:r>
        <w:rPr>
          <w:rFonts w:ascii="Calibri" w:cs="Calibri" w:eastAsia="Calibri" w:hAnsi="Calibri"/>
        </w:rPr>
        <w:t xml:space="preserve">Scale: likelihood and severity low, medium or high. The assessment before measures assumes a tracking system without the built-in measures. Adjust the ratings to your situation.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6"/>
        <w:gridCol w:w="1349"/>
        <w:gridCol w:w="4241"/>
        <w:gridCol w:w="1542"/>
      </w:tblGrid>
      <w:tr>
        <w:trPr>
          <w:tblHeader/>
        </w:trPr>
        <w:tc>
          <w:tcPr>
            <w:tcW w:type="pct" w:w="1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Risk to the drivers</w:t>
            </w:r>
          </w:p>
        </w:tc>
        <w:tc>
          <w:tcPr>
            <w:tcW w:type="pct" w:w="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Before measures</w:t>
            </w:r>
          </w:p>
        </w:tc>
        <w:tc>
          <w:tcPr>
            <w:tcW w:type="pct" w:w="2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Measures</w:t>
            </w:r>
          </w:p>
        </w:tc>
        <w:tc>
          <w:tcPr>
            <w:tcW w:type="pct" w:w="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Residual risk</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Being tracked outside working time or during private trips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Only during a workday; automatic stop; private trips stripped; policy and information letter</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Constant monitoring and pressure from live positions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Off by default; only on in case of genuine need; one position per minute; kept for 30 minutes; visible to the driver</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Use for other purposes (performance, sanctions, speed)</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Purpose limitation in the policy; speed not shown; role-based access; activity log</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Excessive access within the company</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Only the necessary administrators; fines only for the owner and administrators; activity log</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Inaccurate data (GPS, wrong vehicle) and, as a result, a wrong designation for a fine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Vehicle selection at the start; correction by an administrator; confirmation by the driver; check before the designation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Sensitive inferences from places (for example a visit to a doctor during the workday)</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Private trips; short retention; no analysis of places</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Fines data (Article 10 GDPR) in the hands of unauthorised persons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Restricted access; confidentiality; short retention (no later than 24 months)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Breach at TrapSpotter or a sub-processor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Measures from Annex 2 to the data processing agreement; hosting in the EU; notification within 48 hours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Transfer outside the EEA</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Storage in the EU; standard contractual clauses or the EU-US Data Privacy Framework for sub-processors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Retention for too long</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Retention periods in the policy; deletion on request; deletion after the end of the contract</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[Depends on your follow-up]</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Drivers do not know their rights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Information letter, policy, contact point</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bl>
    <w:p>
      <w:pPr>
        <w:spacing w:after="120"/>
      </w:pPr>
    </w:p>
    <w:p>
      <w:pPr>
        <w:pStyle w:val="Heading1"/>
        <w:keepNext/>
        <w:spacing w:after="120" w:before="280"/>
      </w:pPr>
      <w:r>
        <w:rPr>
          <w:rFonts w:ascii="Calibri" w:cs="Calibri" w:eastAsia="Calibri" w:hAnsi="Calibri"/>
          <w:b/>
          <w:bCs/>
          <w:color w:val="1F1F1F"/>
          <w:sz w:val="26"/>
          <w:szCs w:val="26"/>
        </w:rPr>
        <w:t xml:space="preserve">6. Consultation</w:t>
      </w:r>
    </w:p>
    <w:p>
      <w:pPr>
        <w:spacing w:after="120" w:line="276"/>
      </w:pPr>
      <w:r>
        <w:rPr>
          <w:rFonts w:ascii="Calibri" w:cs="Calibri" w:eastAsia="Calibri" w:hAnsi="Calibri"/>
        </w:rPr>
        <w:t xml:space="preserve">Draw up the policy in consultation with the employees, inform the works council (ondernemingsraad) or the trade union delegation (vakbondsafvaardiging), ask for the opinion of the Committee for Prevention and Protection at Work, and attach their views (Article 35(9) GDPR).</w:t>
      </w:r>
    </w:p>
    <w:p>
      <w:pPr>
        <w:spacing w:after="140"/>
      </w:pPr>
      <w:r>
        <w:rPr>
          <w:rFonts w:ascii="Calibri" w:cs="Calibri" w:eastAsia="Calibri" w:hAnsi="Calibri"/>
        </w:rPr>
        <w:t xml:space="preserve">Advice of the data protection officer (date, summary): </w:t>
      </w:r>
      <w:r>
        <w:rPr>
          <w:rFonts w:ascii="Calibri" w:cs="Calibri" w:eastAsia="Calibri" w:hAnsi="Calibri"/>
          <w:color w:val="7F7F7F"/>
        </w:rPr>
        <w:t xml:space="preserve">__________</w:t>
      </w:r>
    </w:p>
    <w:p>
      <w:pPr>
        <w:spacing w:after="140"/>
      </w:pPr>
      <w:r>
        <w:rPr>
          <w:rFonts w:ascii="Calibri" w:cs="Calibri" w:eastAsia="Calibri" w:hAnsi="Calibri"/>
        </w:rPr>
        <w:t xml:space="preserve">Views of the drivers or their representatives (date, summary): </w:t>
      </w:r>
      <w:r>
        <w:rPr>
          <w:rFonts w:ascii="Calibri" w:cs="Calibri" w:eastAsia="Calibri" w:hAnsi="Calibri"/>
          <w:color w:val="7F7F7F"/>
        </w:rPr>
        <w:t xml:space="preserve">__________</w:t>
      </w:r>
    </w:p>
    <w:p>
      <w:pPr>
        <w:pStyle w:val="Heading1"/>
        <w:keepNext/>
        <w:spacing w:after="120" w:before="280"/>
      </w:pPr>
      <w:r>
        <w:rPr>
          <w:rFonts w:ascii="Calibri" w:cs="Calibri" w:eastAsia="Calibri" w:hAnsi="Calibri"/>
          <w:b/>
          <w:bCs/>
          <w:color w:val="1F1F1F"/>
          <w:sz w:val="26"/>
          <w:szCs w:val="26"/>
        </w:rPr>
        <w:t xml:space="preserve">7. Conclusion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The residual risks are acceptable with the measures above. The processing can start on </w:t>
      </w:r>
      <w:r>
        <w:rPr>
          <w:rFonts w:ascii="Calibri" w:cs="Calibri" w:eastAsia="Calibri" w:hAnsi="Calibri"/>
          <w:highlight w:val="yellow"/>
        </w:rPr>
        <w:t xml:space="preserve">[date]</w:t>
      </w:r>
      <w:r>
        <w:rPr>
          <w:rFonts w:ascii="Calibri" w:cs="Calibri" w:eastAsia="Calibri" w:hAnsi="Calibri"/>
        </w:rPr>
        <w:t xml:space="preserv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A high residual risk remains. The employer consults the Belgian Data Protection Authority (GBA) before the start (Article 36 GDPR).</w:t>
      </w:r>
    </w:p>
    <w:p>
      <w:pPr>
        <w:spacing w:after="60"/>
      </w:pPr>
    </w:p>
    <w:p>
      <w:pPr>
        <w:spacing w:after="140"/>
      </w:pPr>
      <w:r>
        <w:rPr>
          <w:rFonts w:ascii="Calibri" w:cs="Calibri" w:eastAsia="Calibri" w:hAnsi="Calibri"/>
        </w:rPr>
        <w:t xml:space="preserve">Next review: </w:t>
      </w:r>
      <w:r>
        <w:rPr>
          <w:rFonts w:ascii="Calibri" w:cs="Calibri" w:eastAsia="Calibri" w:hAnsi="Calibri"/>
          <w:color w:val="7F7F7F"/>
        </w:rPr>
        <w:t xml:space="preserve">_________________________________________________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For the controller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Position: ________________________</w:t>
            </w:r>
          </w:p>
          <w:p>
            <w:pPr>
              <w:spacing w:after="160"/>
            </w:pPr>
            <w:r>
              <w:rPr>
                <w:rFonts w:ascii="Calibri" w:cs="Calibri" w:eastAsia="Calibri" w:hAnsi="Calibri"/>
              </w:rPr>
              <w:t xml:space="preserve">Date: ________________________</w:t>
            </w:r>
          </w:p>
          <w:p>
            <w:pPr>
              <w:spacing w:after="160"/>
            </w:pPr>
            <w:r>
              <w:rPr>
                <w:rFonts w:ascii="Calibri" w:cs="Calibri" w:eastAsia="Calibri" w:hAnsi="Calibri"/>
              </w:rPr>
              <w:t xml:space="preserve">Signature: ________________________</w:t>
            </w:r>
          </w:p>
        </w:tc>
      </w:tr>
    </w:tbl>
    <w:p>
      <w:pPr>
        <w:pStyle w:val="Heading1"/>
        <w:keepNext/>
        <w:spacing w:after="120" w:before="280"/>
      </w:pPr>
      <w:r>
        <w:rPr>
          <w:rFonts w:ascii="Calibri" w:cs="Calibri" w:eastAsia="Calibri" w:hAnsi="Calibri"/>
          <w:b/>
          <w:bCs/>
          <w:color w:val="1F1F1F"/>
          <w:sz w:val="26"/>
          <w:szCs w:val="26"/>
        </w:rPr>
        <w:t xml:space="preserve">Annex: legal references for Belgium</w:t>
      </w:r>
    </w:p>
    <w:p>
      <w:pPr>
        <w:pStyle w:val="ListParagraph"/>
        <w:numPr>
          <w:ilvl w:val="0"/>
          <w:numId w:val="2"/>
        </w:numPr>
        <w:spacing w:after="60" w:line="276"/>
      </w:pPr>
      <w:r>
        <w:rPr>
          <w:rFonts w:ascii="Calibri" w:cs="Calibri" w:eastAsia="Calibri" w:hAnsi="Calibri"/>
        </w:rPr>
        <w:t xml:space="preserve">Gegevensbeschermingsautoriteit (Data Protection Authority), ‘Geolocalisatie’ (topic: privacy in the workplace): gegevensbeschermingsautoriteit.be; Geschillenkamer (Litigation Chamber), decision on the merits No 61/2025 of 25 March 2025.</w:t>
      </w:r>
    </w:p>
    <w:p>
      <w:pPr>
        <w:pStyle w:val="ListParagraph"/>
        <w:numPr>
          <w:ilvl w:val="0"/>
          <w:numId w:val="2"/>
        </w:numPr>
        <w:spacing w:after="60" w:line="276"/>
      </w:pPr>
      <w:r>
        <w:rPr>
          <w:rFonts w:ascii="Calibri" w:cs="Calibri" w:eastAsia="Calibri" w:hAnsi="Calibri"/>
        </w:rPr>
        <w:t xml:space="preserve">Gegevensbeschermingsautoriteit, decision No 01/2019 of 16 January 2019 (list of processing operations for which a DPIA is required), points 7 to 9.</w:t>
      </w:r>
    </w:p>
    <w:p>
      <w:pPr>
        <w:pStyle w:val="ListParagraph"/>
        <w:numPr>
          <w:ilvl w:val="0"/>
          <w:numId w:val="2"/>
        </w:numPr>
        <w:spacing w:after="60" w:line="276"/>
      </w:pPr>
      <w:r>
        <w:rPr>
          <w:rFonts w:ascii="Calibri" w:cs="Calibri" w:eastAsia="Calibri" w:hAnsi="Calibri"/>
        </w:rPr>
        <w:t xml:space="preserve">Wet betreffende de politie over het wegverkeer (Road Traffic Act, coordinated on 16 March 1968), Articles 29ter, 38, 62bis, 67bis and 67ter (penalties as amended by the Act of 25 May 2026, since 1 September 2026).</w:t>
      </w:r>
    </w:p>
    <w:p>
      <w:pPr>
        <w:pStyle w:val="ListParagraph"/>
        <w:numPr>
          <w:ilvl w:val="0"/>
          <w:numId w:val="2"/>
        </w:numPr>
        <w:spacing w:after="60" w:line="276"/>
      </w:pPr>
      <w:r>
        <w:rPr>
          <w:rFonts w:ascii="Calibri" w:cs="Calibri" w:eastAsia="Calibri" w:hAnsi="Calibri"/>
        </w:rPr>
        <w:t xml:space="preserve">Wegcode (Highway Code, Royal Decree of 1 December 1975), Article 8.4 (phone while driving).</w:t>
      </w:r>
    </w:p>
    <w:p>
      <w:pPr>
        <w:pStyle w:val="ListParagraph"/>
        <w:numPr>
          <w:ilvl w:val="0"/>
          <w:numId w:val="2"/>
        </w:numPr>
        <w:spacing w:after="60" w:line="276"/>
      </w:pPr>
      <w:r>
        <w:rPr>
          <w:rFonts w:ascii="Calibri" w:cs="Calibri" w:eastAsia="Calibri" w:hAnsi="Calibri"/>
        </w:rPr>
        <w:t xml:space="preserve">Wet van 30 juli 2018 betreffende de bescherming van natuurlijke personen met betrekking tot de verwerking van persoonsgegevens (Act of 30 July 2018 on the protection of natural persons with regard to the processing of personal data), Article 10.</w:t>
      </w:r>
    </w:p>
    <w:p>
      <w:pPr>
        <w:pStyle w:val="ListParagraph"/>
        <w:numPr>
          <w:ilvl w:val="0"/>
          <w:numId w:val="2"/>
        </w:numPr>
        <w:spacing w:after="60" w:line="276"/>
      </w:pPr>
      <w:r>
        <w:rPr>
          <w:rFonts w:ascii="Calibri" w:cs="Calibri" w:eastAsia="Calibri" w:hAnsi="Calibri"/>
        </w:rPr>
        <w:t xml:space="preserve">Wet van 8 april 1965 tot instelling van de arbeidsreglementen (Act of 8 April 1965 establishing work rules), Articles 4, 6, 11 and 12; collective labour agreements No 5 (Article 14), No 9 (Article 10) and No 39; codex welzijn op het werk (Code on Well-being at Work), Article II.7-3.</w:t>
      </w:r>
    </w:p>
    <w:p>
      <w:pPr>
        <w:pStyle w:val="ListParagraph"/>
        <w:numPr>
          <w:ilvl w:val="0"/>
          <w:numId w:val="2"/>
        </w:numPr>
        <w:spacing w:after="60" w:line="276"/>
      </w:pPr>
      <w:r>
        <w:rPr>
          <w:rFonts w:ascii="Calibri" w:cs="Calibri" w:eastAsia="Calibri" w:hAnsi="Calibri"/>
        </w:rPr>
        <w:t xml:space="preserve">Mileage allowance: circular (omzendbrief) No 767 of 8 June 2026 (€0.4761 per kilometre from 1 July 2026 to 30 June 2027 inclusive; annual system) and No 771 (quarterly system: €0.4452 from 1 October to 31 December 2026 inclusive); circular 2026/C/76 of the FPS Finance (FOD Financiën); administrative instructions of the National Social Security Office (RSZ).</w:t>
      </w:r>
    </w:p>
    <w:p>
      <w:pPr>
        <w:pStyle w:val="ListParagraph"/>
        <w:numPr>
          <w:ilvl w:val="0"/>
          <w:numId w:val="2"/>
        </w:numPr>
        <w:spacing w:after="60" w:line="276"/>
      </w:pPr>
      <w:r>
        <w:rPr>
          <w:rFonts w:ascii="Calibri" w:cs="Calibri" w:eastAsia="Calibri" w:hAnsi="Calibri"/>
        </w:rPr>
        <w:t xml:space="preserve">Regulation (EU) 2016/679 (GDPR), Articles 6, 10, 13, 30 and 35; Court of Justice, 22 June 2021, C-439/19 (traffic offences fall under Article 10 GDPR).</w:t>
      </w:r>
    </w:p>
    <w:p>
      <w:pPr>
        <w:spacing w:after="60"/>
      </w:pP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Data protection impact assessment (DPIA): TrapSpotter Fleet · Template by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impact assessment (DPIA): TrapSpotter Fleet</dc:title>
  <dc:creator>TrapSpotter BV</dc:creator>
  <dc:description>Template by TrapSpotter BV for TrapSpotter Fleet customers (Belgium)</dc:description>
  <cp:lastModifiedBy>Un-named</cp:lastModifiedBy>
  <cp:revision>1</cp:revision>
  <dcterms:created xsi:type="dcterms:W3CDTF">2026-10-08T23:12:48.914Z</dcterms:created>
  <dcterms:modified xsi:type="dcterms:W3CDTF">2026-10-08T23:12:48.914Z</dcterms:modified>
</cp:coreProperties>
</file>

<file path=docProps/custom.xml><?xml version="1.0" encoding="utf-8"?>
<Properties xmlns="http://schemas.openxmlformats.org/officeDocument/2006/custom-properties" xmlns:vt="http://schemas.openxmlformats.org/officeDocument/2006/docPropsVTypes"/>
</file>